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8" w:type="dxa"/>
        <w:tblInd w:w="-172" w:type="dxa"/>
        <w:tblLook w:val="01E0"/>
      </w:tblPr>
      <w:tblGrid>
        <w:gridCol w:w="3780"/>
        <w:gridCol w:w="5798"/>
      </w:tblGrid>
      <w:tr w:rsidR="00565A37" w:rsidRPr="00E977F9" w:rsidTr="003212DA">
        <w:tc>
          <w:tcPr>
            <w:tcW w:w="3780" w:type="dxa"/>
          </w:tcPr>
          <w:p w:rsidR="00565A37" w:rsidRPr="00E977F9" w:rsidRDefault="00565A37" w:rsidP="003212DA">
            <w:pPr>
              <w:jc w:val="center"/>
              <w:rPr>
                <w:rFonts w:cs="Times New Roman"/>
                <w:b/>
                <w:sz w:val="26"/>
              </w:rPr>
            </w:pPr>
            <w:r w:rsidRPr="00E977F9">
              <w:rPr>
                <w:rFonts w:cs="Times New Roman"/>
                <w:b/>
                <w:sz w:val="26"/>
              </w:rPr>
              <w:t>BỘ GIAO THÔNG VẬN TẢI</w:t>
            </w:r>
          </w:p>
        </w:tc>
        <w:tc>
          <w:tcPr>
            <w:tcW w:w="5798" w:type="dxa"/>
          </w:tcPr>
          <w:p w:rsidR="00565A37" w:rsidRPr="00E977F9" w:rsidRDefault="00565A37" w:rsidP="003212DA">
            <w:pPr>
              <w:jc w:val="center"/>
              <w:rPr>
                <w:rFonts w:cs="Times New Roman"/>
                <w:b/>
                <w:sz w:val="26"/>
              </w:rPr>
            </w:pPr>
            <w:r w:rsidRPr="00E977F9">
              <w:rPr>
                <w:rFonts w:cs="Times New Roman"/>
                <w:b/>
                <w:sz w:val="26"/>
              </w:rPr>
              <w:t xml:space="preserve">CỘNG HOÀ XÃ HỘI CHỦ NGHĨA VIỆT </w:t>
            </w:r>
            <w:smartTag w:uri="urn:schemas-microsoft-com:office:smarttags" w:element="country-region">
              <w:smartTag w:uri="urn:schemas-microsoft-com:office:smarttags" w:element="place">
                <w:r w:rsidRPr="00E977F9">
                  <w:rPr>
                    <w:rFonts w:cs="Times New Roman"/>
                    <w:b/>
                    <w:sz w:val="26"/>
                  </w:rPr>
                  <w:t>NAM</w:t>
                </w:r>
              </w:smartTag>
            </w:smartTag>
          </w:p>
        </w:tc>
      </w:tr>
      <w:tr w:rsidR="00565A37" w:rsidRPr="00E977F9" w:rsidTr="003212DA">
        <w:tc>
          <w:tcPr>
            <w:tcW w:w="3780" w:type="dxa"/>
          </w:tcPr>
          <w:p w:rsidR="00565A37" w:rsidRPr="00E977F9" w:rsidRDefault="007F1617" w:rsidP="003212DA">
            <w:pPr>
              <w:rPr>
                <w:rFonts w:cs="Times New Roman"/>
              </w:rPr>
            </w:pPr>
            <w:r>
              <w:rPr>
                <w:rFonts w:cs="Times New Roman"/>
                <w:noProof/>
              </w:rPr>
              <w:pict>
                <v:line id="Straight Connector 2" o:spid="_x0000_s1026" style="position:absolute;z-index:251659264;visibility:visible;mso-position-horizontal-relative:text;mso-position-vertical-relative:text" from="35.55pt,7.15pt" to="133.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X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RTF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M4MqmTbAAAACAEAAA8AAABkcnMvZG93bnJldi54bWxMj8FOwzAQRO9I&#10;/IO1SFwq6iRFLQpxKgTkxoUC4rqNlyQiXqex2wa+nkU9wHHfjGZnivXkenWgMXSeDaTzBBRx7W3H&#10;jYHXl+rqBlSIyBZ7z2TgiwKsy/OzAnPrj/xMh01slIRwyNFAG+OQax3qlhyGuR+IRfvwo8Mo59ho&#10;O+JRwl2vsyRZaocdy4cWB7pvqf7c7J2BUL3Rrvqe1bPkfdF4ynYPT49ozOXFdHcLKtIU/8zwW1+q&#10;Qymdtn7PNqjewCpNxSn8egFK9Gy5ErA9AV0W+v+A8gcAAP//AwBQSwECLQAUAAYACAAAACEAtoM4&#10;kv4AAADhAQAAEwAAAAAAAAAAAAAAAAAAAAAAW0NvbnRlbnRfVHlwZXNdLnhtbFBLAQItABQABgAI&#10;AAAAIQA4/SH/1gAAAJQBAAALAAAAAAAAAAAAAAAAAC8BAABfcmVscy8ucmVsc1BLAQItABQABgAI&#10;AAAAIQCffFUXHAIAADYEAAAOAAAAAAAAAAAAAAAAAC4CAABkcnMvZTJvRG9jLnhtbFBLAQItABQA&#10;BgAIAAAAIQDODKpk2wAAAAgBAAAPAAAAAAAAAAAAAAAAAHYEAABkcnMvZG93bnJldi54bWxQSwUG&#10;AAAAAAQABADzAAAAfgUAAAAA&#10;"/>
              </w:pict>
            </w:r>
          </w:p>
        </w:tc>
        <w:tc>
          <w:tcPr>
            <w:tcW w:w="5798" w:type="dxa"/>
          </w:tcPr>
          <w:p w:rsidR="00565A37" w:rsidRPr="00E977F9" w:rsidRDefault="00565A37" w:rsidP="003212DA">
            <w:pPr>
              <w:jc w:val="center"/>
              <w:rPr>
                <w:rFonts w:cs="Times New Roman"/>
                <w:b/>
              </w:rPr>
            </w:pPr>
            <w:r w:rsidRPr="00E977F9">
              <w:rPr>
                <w:rFonts w:cs="Times New Roman"/>
                <w:b/>
              </w:rPr>
              <w:t>Độc lập - Tự do - Hạnh phúc</w:t>
            </w:r>
          </w:p>
        </w:tc>
      </w:tr>
      <w:tr w:rsidR="00565A37" w:rsidRPr="00E977F9" w:rsidTr="003212DA">
        <w:tc>
          <w:tcPr>
            <w:tcW w:w="3780" w:type="dxa"/>
          </w:tcPr>
          <w:p w:rsidR="00565A37" w:rsidRPr="00E977F9" w:rsidRDefault="00565A37" w:rsidP="003212DA">
            <w:pPr>
              <w:jc w:val="center"/>
              <w:rPr>
                <w:rFonts w:cs="Times New Roman"/>
              </w:rPr>
            </w:pPr>
          </w:p>
        </w:tc>
        <w:tc>
          <w:tcPr>
            <w:tcW w:w="5798" w:type="dxa"/>
          </w:tcPr>
          <w:p w:rsidR="00565A37" w:rsidRPr="00E977F9" w:rsidRDefault="007F1617" w:rsidP="003212DA">
            <w:pPr>
              <w:jc w:val="center"/>
              <w:rPr>
                <w:rFonts w:cs="Times New Roman"/>
              </w:rPr>
            </w:pPr>
            <w:r>
              <w:rPr>
                <w:rFonts w:cs="Times New Roman"/>
                <w:noProof/>
              </w:rPr>
              <w:pict>
                <v:line id="Straight Connector 1" o:spid="_x0000_s1027" style="position:absolute;left:0;text-align:left;z-index:251660288;visibility:visible;mso-position-horizontal-relative:text;mso-position-vertical-relative:text" from="52.2pt,2.55pt" to="227.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IH1pcbZAAAABwEAAA8AAABkcnMvZG93bnJldi54bWxMjsFOwzAQRO9I&#10;/IO1SFyq1mlJKxTiVAjIjQsFxHUbL0lEvE5jtw18Pdte4Pg0o5mXr0fXqQMNofVsYD5LQBFX3rZc&#10;G3h7Lae3oEJEtth5JgPfFGBdXF7kmFl/5Bc6bGKtZIRDhgaaGPtM61A15DDMfE8s2acfHEbBodZ2&#10;wKOMu04vkmSlHbYsDw329NBQ9bXZOwOhfKdd+TOpJsnHTe1psXt8fkJjrq/G+ztQkcb4V4aTvqhD&#10;IU5bv2cbVCecpKlUDSznoCRPlyfenlkXuf7vX/wCAAD//wMAUEsBAi0AFAAGAAgAAAAhALaDOJL+&#10;AAAA4QEAABMAAAAAAAAAAAAAAAAAAAAAAFtDb250ZW50X1R5cGVzXS54bWxQSwECLQAUAAYACAAA&#10;ACEAOP0h/9YAAACUAQAACwAAAAAAAAAAAAAAAAAvAQAAX3JlbHMvLnJlbHNQSwECLQAUAAYACAAA&#10;ACEAIlla4xwCAAA2BAAADgAAAAAAAAAAAAAAAAAuAgAAZHJzL2Uyb0RvYy54bWxQSwECLQAUAAYA&#10;CAAAACEAgfWlxtkAAAAHAQAADwAAAAAAAAAAAAAAAAB2BAAAZHJzL2Rvd25yZXYueG1sUEsFBgAA&#10;AAAEAAQA8wAAAHwFAAAAAA==&#10;"/>
              </w:pict>
            </w:r>
          </w:p>
        </w:tc>
      </w:tr>
      <w:tr w:rsidR="00565A37" w:rsidRPr="00E977F9" w:rsidTr="003212DA">
        <w:tc>
          <w:tcPr>
            <w:tcW w:w="3780" w:type="dxa"/>
          </w:tcPr>
          <w:p w:rsidR="00565A37" w:rsidRPr="00E977F9" w:rsidRDefault="006135AC" w:rsidP="006135AC">
            <w:pPr>
              <w:jc w:val="center"/>
              <w:rPr>
                <w:rFonts w:cs="Times New Roman"/>
              </w:rPr>
            </w:pPr>
            <w:r w:rsidRPr="00E977F9">
              <w:rPr>
                <w:rFonts w:cs="Times New Roman"/>
              </w:rPr>
              <w:t xml:space="preserve">Số:           </w:t>
            </w:r>
            <w:r w:rsidR="00565A37" w:rsidRPr="00E977F9">
              <w:rPr>
                <w:rFonts w:cs="Times New Roman"/>
              </w:rPr>
              <w:t xml:space="preserve"> /TTr-BGTVT</w:t>
            </w:r>
          </w:p>
        </w:tc>
        <w:tc>
          <w:tcPr>
            <w:tcW w:w="5798" w:type="dxa"/>
          </w:tcPr>
          <w:p w:rsidR="00565A37" w:rsidRPr="00E977F9" w:rsidRDefault="00565A37" w:rsidP="003212DA">
            <w:pPr>
              <w:jc w:val="center"/>
              <w:rPr>
                <w:rFonts w:cs="Times New Roman"/>
                <w:i/>
              </w:rPr>
            </w:pPr>
            <w:r w:rsidRPr="00E977F9">
              <w:rPr>
                <w:rFonts w:cs="Times New Roman"/>
                <w:i/>
              </w:rPr>
              <w:t xml:space="preserve">               Hà Nội, ngày   </w:t>
            </w:r>
            <w:r w:rsidR="006135AC" w:rsidRPr="00E977F9">
              <w:rPr>
                <w:rFonts w:cs="Times New Roman"/>
                <w:i/>
              </w:rPr>
              <w:t xml:space="preserve">  </w:t>
            </w:r>
            <w:r w:rsidRPr="00E977F9">
              <w:rPr>
                <w:rFonts w:cs="Times New Roman"/>
                <w:i/>
              </w:rPr>
              <w:t xml:space="preserve"> tháng </w:t>
            </w:r>
            <w:r w:rsidR="006135AC" w:rsidRPr="00E977F9">
              <w:rPr>
                <w:rFonts w:cs="Times New Roman"/>
                <w:i/>
              </w:rPr>
              <w:t xml:space="preserve">    </w:t>
            </w:r>
            <w:r w:rsidRPr="00E977F9">
              <w:rPr>
                <w:rFonts w:cs="Times New Roman"/>
                <w:i/>
              </w:rPr>
              <w:t xml:space="preserve"> năm 201</w:t>
            </w:r>
            <w:r w:rsidR="006135AC" w:rsidRPr="00E977F9">
              <w:rPr>
                <w:rFonts w:cs="Times New Roman"/>
                <w:i/>
              </w:rPr>
              <w:t>6</w:t>
            </w:r>
          </w:p>
        </w:tc>
      </w:tr>
    </w:tbl>
    <w:p w:rsidR="00565A37" w:rsidRPr="00E977F9" w:rsidRDefault="00565A37" w:rsidP="00565A37">
      <w:pPr>
        <w:spacing w:before="60" w:line="356" w:lineRule="exact"/>
        <w:ind w:right="-5"/>
        <w:jc w:val="center"/>
        <w:rPr>
          <w:rFonts w:cs="Times New Roman"/>
          <w:b/>
          <w:bCs/>
        </w:rPr>
      </w:pPr>
    </w:p>
    <w:tbl>
      <w:tblPr>
        <w:tblpPr w:leftFromText="180" w:rightFromText="180" w:vertAnchor="text" w:horzAnchor="page" w:tblpX="2578" w:tblpY="235"/>
        <w:tblW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tblGrid>
      <w:tr w:rsidR="00AD293E" w:rsidRPr="007C2488" w:rsidTr="00AD293E">
        <w:trPr>
          <w:trHeight w:val="45"/>
        </w:trPr>
        <w:tc>
          <w:tcPr>
            <w:tcW w:w="1507" w:type="dxa"/>
          </w:tcPr>
          <w:p w:rsidR="00AD293E" w:rsidRPr="007C2488" w:rsidRDefault="00AD293E" w:rsidP="00814DB5">
            <w:pPr>
              <w:spacing w:before="120" w:line="234" w:lineRule="atLeast"/>
            </w:pPr>
            <w:r w:rsidRPr="007C2488">
              <w:t>DỰ THẢO</w:t>
            </w:r>
          </w:p>
        </w:tc>
      </w:tr>
    </w:tbl>
    <w:p w:rsidR="00AD293E" w:rsidRDefault="00AD293E" w:rsidP="00E977F9">
      <w:pPr>
        <w:spacing w:before="120" w:after="120" w:line="360" w:lineRule="exact"/>
        <w:ind w:right="-5"/>
        <w:jc w:val="center"/>
        <w:rPr>
          <w:rFonts w:cs="Times New Roman"/>
          <w:b/>
          <w:bCs/>
        </w:rPr>
      </w:pPr>
    </w:p>
    <w:p w:rsidR="00AD293E" w:rsidRDefault="00AD293E" w:rsidP="00E977F9">
      <w:pPr>
        <w:spacing w:before="120" w:after="120" w:line="360" w:lineRule="exact"/>
        <w:ind w:right="-5"/>
        <w:jc w:val="center"/>
        <w:rPr>
          <w:rFonts w:cs="Times New Roman"/>
          <w:b/>
          <w:bCs/>
        </w:rPr>
      </w:pPr>
    </w:p>
    <w:p w:rsidR="00565A37" w:rsidRPr="00E977F9" w:rsidRDefault="00565A37" w:rsidP="00E977F9">
      <w:pPr>
        <w:spacing w:before="120" w:after="120" w:line="360" w:lineRule="exact"/>
        <w:ind w:right="-5"/>
        <w:jc w:val="center"/>
        <w:rPr>
          <w:rFonts w:cs="Times New Roman"/>
          <w:b/>
          <w:bCs/>
        </w:rPr>
      </w:pPr>
      <w:r w:rsidRPr="00E977F9">
        <w:rPr>
          <w:rFonts w:cs="Times New Roman"/>
          <w:b/>
          <w:bCs/>
        </w:rPr>
        <w:t>TỜ TRÌNH CHÍNH PHỦ</w:t>
      </w:r>
    </w:p>
    <w:p w:rsidR="00565A37" w:rsidRPr="00E977F9" w:rsidRDefault="00565A37" w:rsidP="00E977F9">
      <w:pPr>
        <w:shd w:val="clear" w:color="auto" w:fill="FFFFFF"/>
        <w:spacing w:before="120" w:after="120" w:line="360" w:lineRule="exact"/>
        <w:jc w:val="center"/>
        <w:rPr>
          <w:rFonts w:cs="Times New Roman"/>
          <w:b/>
        </w:rPr>
      </w:pPr>
      <w:r w:rsidRPr="00E977F9">
        <w:rPr>
          <w:rFonts w:eastAsia="SimSun" w:cs="Times New Roman"/>
          <w:b/>
        </w:rPr>
        <w:t xml:space="preserve">Dự thảo Nghị định </w:t>
      </w:r>
      <w:r w:rsidRPr="00E977F9">
        <w:rPr>
          <w:rFonts w:cs="Times New Roman"/>
          <w:b/>
        </w:rPr>
        <w:t xml:space="preserve">Quy định việc niêm yết giá, phụ thu ngoài giá dịch vụ vận chuyển bằng đường biển và giá dịch vụ cảng </w:t>
      </w:r>
    </w:p>
    <w:p w:rsidR="00565A37" w:rsidRPr="00E977F9" w:rsidRDefault="00565A37" w:rsidP="00E977F9">
      <w:pPr>
        <w:spacing w:before="120" w:after="120" w:line="360" w:lineRule="exact"/>
        <w:jc w:val="center"/>
        <w:rPr>
          <w:rFonts w:cs="Times New Roman"/>
        </w:rPr>
      </w:pPr>
    </w:p>
    <w:p w:rsidR="00565A37" w:rsidRPr="00E977F9" w:rsidRDefault="00565A37" w:rsidP="00E977F9">
      <w:pPr>
        <w:spacing w:before="120" w:after="120" w:line="360" w:lineRule="exact"/>
        <w:ind w:right="-6" w:firstLine="720"/>
        <w:jc w:val="both"/>
        <w:rPr>
          <w:rFonts w:cs="Times New Roman"/>
        </w:rPr>
      </w:pPr>
      <w:r w:rsidRPr="00E977F9">
        <w:rPr>
          <w:rFonts w:cs="Times New Roman"/>
        </w:rPr>
        <w:t xml:space="preserve">Căn cứ </w:t>
      </w:r>
      <w:r w:rsidRPr="00E977F9">
        <w:rPr>
          <w:rFonts w:cs="Times New Roman"/>
          <w:spacing w:val="4"/>
        </w:rPr>
        <w:t xml:space="preserve">Luật Tổ chức Chính phủ, Luật ban hành văn bản quy phạm pháp luật và </w:t>
      </w:r>
      <w:r w:rsidRPr="00E977F9">
        <w:rPr>
          <w:rFonts w:eastAsia="SimSun" w:cs="Times New Roman"/>
          <w:spacing w:val="4"/>
        </w:rPr>
        <w:t xml:space="preserve">Nghị định số 24/2009/NĐ-CP ngày 05 tháng 3 năm 2009 của Chính </w:t>
      </w:r>
      <w:r w:rsidRPr="00E977F9">
        <w:rPr>
          <w:rFonts w:cs="Times New Roman"/>
        </w:rPr>
        <w:t>phủ quy định chi tiết và biện pháp thi hành Luật ban hành văn bản quy phạm pháp luật;</w:t>
      </w:r>
    </w:p>
    <w:p w:rsidR="00BF7B4F" w:rsidRPr="00E977F9" w:rsidRDefault="00BF7B4F" w:rsidP="00E977F9">
      <w:pPr>
        <w:spacing w:before="120" w:after="120" w:line="360" w:lineRule="exact"/>
        <w:ind w:right="-6" w:firstLine="720"/>
        <w:jc w:val="both"/>
        <w:rPr>
          <w:rFonts w:cs="Times New Roman"/>
        </w:rPr>
      </w:pPr>
      <w:r w:rsidRPr="00E977F9">
        <w:rPr>
          <w:rFonts w:cs="Times New Roman"/>
        </w:rPr>
        <w:t xml:space="preserve">Căn cứ quy định tại Điều 149 của </w:t>
      </w:r>
      <w:r w:rsidRPr="00E977F9">
        <w:rPr>
          <w:rFonts w:cs="Times New Roman"/>
          <w:iCs/>
        </w:rPr>
        <w:t xml:space="preserve">Bộ luật Hàng hải Việt Nam ngày 08 tháng 12 năm 2015 và Luật Giá số 11/2012/QH2013 ngày 20 </w:t>
      </w:r>
      <w:r w:rsidRPr="00E977F9">
        <w:rPr>
          <w:rFonts w:cs="Times New Roman"/>
          <w:iCs/>
          <w:shd w:val="clear" w:color="auto" w:fill="FFFFFF"/>
        </w:rPr>
        <w:t xml:space="preserve">tháng 6 </w:t>
      </w:r>
      <w:r w:rsidRPr="00E977F9">
        <w:rPr>
          <w:rFonts w:cs="Times New Roman"/>
          <w:iCs/>
        </w:rPr>
        <w:t> năm 2012;</w:t>
      </w:r>
    </w:p>
    <w:p w:rsidR="00565A37" w:rsidRPr="00E977F9" w:rsidRDefault="00565A37" w:rsidP="00E977F9">
      <w:pPr>
        <w:shd w:val="clear" w:color="auto" w:fill="FFFFFF"/>
        <w:spacing w:before="120" w:after="120" w:line="360" w:lineRule="exact"/>
        <w:ind w:firstLine="720"/>
        <w:jc w:val="both"/>
        <w:rPr>
          <w:rFonts w:eastAsia="SimSun" w:cs="Times New Roman"/>
        </w:rPr>
      </w:pPr>
      <w:r w:rsidRPr="00E977F9">
        <w:rPr>
          <w:rFonts w:cs="Times New Roman"/>
        </w:rPr>
        <w:t>Bộ Giao thông vận tải kính trình Chính phủ dự thảo Nghị định Quy định việc niêm yết giá, phụ thu ngoài giá dịch vụ vận chuyển bằng đường biển và giá dịch vụ cảng</w:t>
      </w:r>
      <w:r w:rsidR="00BF7B4F" w:rsidRPr="00E977F9">
        <w:rPr>
          <w:rFonts w:cs="Times New Roman"/>
        </w:rPr>
        <w:t xml:space="preserve"> (sau đây gọi tắt là Dự thảo Nghị định)</w:t>
      </w:r>
      <w:r w:rsidRPr="00E977F9">
        <w:rPr>
          <w:rFonts w:cs="Times New Roman"/>
          <w:b/>
        </w:rPr>
        <w:t xml:space="preserve"> </w:t>
      </w:r>
      <w:r w:rsidRPr="00E977F9">
        <w:rPr>
          <w:rFonts w:eastAsia="SimSun" w:cs="Times New Roman"/>
        </w:rPr>
        <w:t>với những nội dung chính như sau:</w:t>
      </w:r>
    </w:p>
    <w:p w:rsidR="00565A37" w:rsidRPr="00E977F9" w:rsidRDefault="00565A37" w:rsidP="00E977F9">
      <w:pPr>
        <w:spacing w:before="120" w:after="120" w:line="360" w:lineRule="exact"/>
        <w:ind w:right="-6" w:firstLine="720"/>
        <w:jc w:val="both"/>
        <w:rPr>
          <w:rFonts w:cs="Times New Roman"/>
          <w:b/>
          <w:bCs/>
        </w:rPr>
      </w:pPr>
      <w:r w:rsidRPr="00E977F9">
        <w:rPr>
          <w:rFonts w:cs="Times New Roman"/>
          <w:b/>
          <w:bCs/>
        </w:rPr>
        <w:t>I. Sự cần thiết ban hành Nghị định</w:t>
      </w:r>
    </w:p>
    <w:p w:rsidR="004F4F29" w:rsidRPr="00E977F9" w:rsidRDefault="00C51B29" w:rsidP="00E977F9">
      <w:pPr>
        <w:spacing w:before="120" w:after="120" w:line="360" w:lineRule="exact"/>
        <w:ind w:firstLine="720"/>
        <w:jc w:val="both"/>
        <w:rPr>
          <w:rFonts w:cs="Times New Roman"/>
        </w:rPr>
      </w:pPr>
      <w:r w:rsidRPr="00E977F9">
        <w:rPr>
          <w:rFonts w:cs="Times New Roman"/>
        </w:rPr>
        <w:t xml:space="preserve">1. </w:t>
      </w:r>
      <w:r w:rsidR="001B7247" w:rsidRPr="00E977F9">
        <w:rPr>
          <w:rFonts w:cs="Times New Roman"/>
        </w:rPr>
        <w:t>Việc các hãng tàu nước ngoài thu các khoản phụ thu ngoài giá dịch vụ vận chuyển bằng đường biển đối với các doanh nghiệp xuất nhập khẩu (XNK) đã diễn ra từ năm 2011</w:t>
      </w:r>
      <w:r w:rsidR="004E4BDD" w:rsidRPr="00E977F9">
        <w:rPr>
          <w:rFonts w:cs="Times New Roman"/>
        </w:rPr>
        <w:t>, đặc biệt trong thời gian gần đây, do tính cạnh tranh</w:t>
      </w:r>
      <w:r w:rsidR="001B7247" w:rsidRPr="00E977F9">
        <w:rPr>
          <w:rFonts w:cs="Times New Roman"/>
        </w:rPr>
        <w:t xml:space="preserve"> </w:t>
      </w:r>
      <w:r w:rsidR="004E4BDD" w:rsidRPr="00E977F9">
        <w:rPr>
          <w:rFonts w:cs="Times New Roman"/>
        </w:rPr>
        <w:t xml:space="preserve">giữa các hãng tàu cao, </w:t>
      </w:r>
      <w:r w:rsidR="00CB121B" w:rsidRPr="00E977F9">
        <w:rPr>
          <w:rFonts w:cs="Times New Roman"/>
        </w:rPr>
        <w:t xml:space="preserve">các hãng tàu hạ thấp giá vận chuyển và </w:t>
      </w:r>
      <w:r w:rsidR="004E4BDD" w:rsidRPr="00E977F9">
        <w:rPr>
          <w:rFonts w:cs="Times New Roman"/>
        </w:rPr>
        <w:t xml:space="preserve">áp dụng </w:t>
      </w:r>
      <w:r w:rsidR="00CB121B" w:rsidRPr="00E977F9">
        <w:rPr>
          <w:rFonts w:cs="Times New Roman"/>
        </w:rPr>
        <w:t>việc thu các khoản phụ thu để bù đắp chi phí</w:t>
      </w:r>
      <w:r w:rsidR="0049351B" w:rsidRPr="00E977F9">
        <w:rPr>
          <w:rFonts w:cs="Times New Roman"/>
        </w:rPr>
        <w:t>.</w:t>
      </w:r>
      <w:r w:rsidR="00CB121B" w:rsidRPr="00E977F9">
        <w:rPr>
          <w:rFonts w:cs="Times New Roman"/>
        </w:rPr>
        <w:t xml:space="preserve"> Các khoản phụ thu được các hãng tàu đơn phương </w:t>
      </w:r>
      <w:r w:rsidR="007752B5" w:rsidRPr="00E977F9">
        <w:rPr>
          <w:rFonts w:cs="Times New Roman"/>
        </w:rPr>
        <w:t>đưa ra mà không có sự đồng nhất về mức thu, không có sự thông báo trước một khoảng thời gian nhất định (chỉ trước khi tàu đến cảng, chủ hàng mới được thông báo phải nộp các khoản phụ thu)</w:t>
      </w:r>
      <w:r w:rsidR="000C0155" w:rsidRPr="00E977F9">
        <w:rPr>
          <w:rFonts w:cs="Times New Roman"/>
        </w:rPr>
        <w:t>,…</w:t>
      </w:r>
      <w:r w:rsidR="007752B5" w:rsidRPr="00E977F9">
        <w:rPr>
          <w:rFonts w:cs="Times New Roman"/>
        </w:rPr>
        <w:t xml:space="preserve"> gây nhiều bức xúc cho các doanh nghiệp XNK. </w:t>
      </w:r>
    </w:p>
    <w:p w:rsidR="004F4F29" w:rsidRPr="00E977F9" w:rsidRDefault="004F4F29" w:rsidP="00E977F9">
      <w:pPr>
        <w:spacing w:before="120" w:after="120" w:line="360" w:lineRule="exact"/>
        <w:ind w:firstLine="720"/>
        <w:jc w:val="both"/>
        <w:rPr>
          <w:rFonts w:cs="Times New Roman"/>
          <w:color w:val="auto"/>
          <w:spacing w:val="-2"/>
        </w:rPr>
      </w:pPr>
      <w:r w:rsidRPr="00E977F9">
        <w:rPr>
          <w:rFonts w:cs="Times New Roman"/>
        </w:rPr>
        <w:t xml:space="preserve">Trước thực trạng nêu trên, Bộ Giao thông vận tải (GTVT) đã chủ trì phối hợp với các Bộ: Tài chính, Công Thương </w:t>
      </w:r>
      <w:r w:rsidR="00F802D0" w:rsidRPr="00E977F9">
        <w:rPr>
          <w:rFonts w:cs="Times New Roman"/>
        </w:rPr>
        <w:t xml:space="preserve">và các cơ quan đơn vị liên quan thành lập </w:t>
      </w:r>
      <w:r w:rsidR="00F802D0" w:rsidRPr="00E977F9">
        <w:rPr>
          <w:rFonts w:cs="Times New Roman"/>
          <w:color w:val="auto"/>
          <w:spacing w:val="-2"/>
        </w:rPr>
        <w:t xml:space="preserve">Tổ công tác liên ngành về việc các hãng tàu nước ngoài thu </w:t>
      </w:r>
      <w:r w:rsidR="0097190D" w:rsidRPr="00E977F9">
        <w:rPr>
          <w:rFonts w:cs="Times New Roman"/>
          <w:color w:val="auto"/>
          <w:spacing w:val="-2"/>
        </w:rPr>
        <w:t xml:space="preserve">các khoản phụ thu </w:t>
      </w:r>
      <w:r w:rsidR="00F802D0" w:rsidRPr="00E977F9">
        <w:rPr>
          <w:rFonts w:cs="Times New Roman"/>
          <w:color w:val="auto"/>
          <w:spacing w:val="-2"/>
        </w:rPr>
        <w:t xml:space="preserve">bất hợp lý đối với hàng hóa xuất nhập khẩu của Việt Nam để kiểm tra, nghiên cứu, đề xuất </w:t>
      </w:r>
      <w:r w:rsidR="0097190D" w:rsidRPr="00E977F9">
        <w:rPr>
          <w:rFonts w:cs="Times New Roman"/>
          <w:color w:val="auto"/>
          <w:spacing w:val="-2"/>
        </w:rPr>
        <w:t xml:space="preserve">với Thủ tướng Chính phủ </w:t>
      </w:r>
      <w:r w:rsidR="00F802D0" w:rsidRPr="00E977F9">
        <w:rPr>
          <w:rFonts w:cs="Times New Roman"/>
          <w:color w:val="auto"/>
          <w:spacing w:val="-2"/>
        </w:rPr>
        <w:t>hướng xử lý đối với các loại phụ thu các hãng tàu đang thu, đồng th</w:t>
      </w:r>
      <w:r w:rsidR="0097190D" w:rsidRPr="00E977F9">
        <w:rPr>
          <w:rFonts w:cs="Times New Roman"/>
          <w:color w:val="auto"/>
          <w:spacing w:val="-2"/>
        </w:rPr>
        <w:t>ời đề xuất xây dựng văn bản quy phạm pháp luật</w:t>
      </w:r>
      <w:r w:rsidR="00F802D0" w:rsidRPr="00E977F9">
        <w:rPr>
          <w:rFonts w:cs="Times New Roman"/>
          <w:color w:val="auto"/>
          <w:spacing w:val="-2"/>
        </w:rPr>
        <w:t xml:space="preserve"> quy định về quản lý, giám sát đối với cước vận tải biển và các loại phí, phụ phí.</w:t>
      </w:r>
    </w:p>
    <w:p w:rsidR="005C0A11" w:rsidRPr="00E977F9" w:rsidRDefault="003254E5" w:rsidP="00E977F9">
      <w:pPr>
        <w:spacing w:before="120" w:after="120" w:line="360" w:lineRule="exact"/>
        <w:ind w:firstLine="720"/>
        <w:jc w:val="both"/>
        <w:rPr>
          <w:rFonts w:cs="Times New Roman"/>
          <w:color w:val="auto"/>
          <w:spacing w:val="-2"/>
        </w:rPr>
      </w:pPr>
      <w:r w:rsidRPr="00E977F9">
        <w:rPr>
          <w:rFonts w:cs="Times New Roman"/>
          <w:color w:val="auto"/>
          <w:spacing w:val="-2"/>
        </w:rPr>
        <w:t>Thực hiện ý kiến chỉ đạo của Thủ tướng Chính phủ tại văn bản số 6208/VPCP-KTTH n</w:t>
      </w:r>
      <w:r w:rsidR="005C0A11" w:rsidRPr="00E977F9">
        <w:rPr>
          <w:rFonts w:cs="Times New Roman"/>
          <w:color w:val="auto"/>
          <w:spacing w:val="-2"/>
        </w:rPr>
        <w:t>gày 06 tháng 8 năm 2015</w:t>
      </w:r>
      <w:r w:rsidRPr="00E977F9">
        <w:rPr>
          <w:rFonts w:cs="Times New Roman"/>
          <w:color w:val="auto"/>
          <w:spacing w:val="-2"/>
        </w:rPr>
        <w:t xml:space="preserve"> về quản lý cước vận tải biển và phụ phí theo cước </w:t>
      </w:r>
      <w:r w:rsidRPr="00E977F9">
        <w:rPr>
          <w:rFonts w:cs="Times New Roman"/>
          <w:color w:val="auto"/>
          <w:spacing w:val="-2"/>
        </w:rPr>
        <w:lastRenderedPageBreak/>
        <w:t>vận tải biển và văn bản số 7077/VPCP-KTTH</w:t>
      </w:r>
      <w:r w:rsidR="00C00AAC" w:rsidRPr="00E977F9">
        <w:rPr>
          <w:rFonts w:cs="Times New Roman"/>
          <w:color w:val="auto"/>
          <w:spacing w:val="-2"/>
        </w:rPr>
        <w:t xml:space="preserve"> ngày 09 tháng 9 năm 2015</w:t>
      </w:r>
      <w:r w:rsidRPr="00E977F9">
        <w:rPr>
          <w:rFonts w:cs="Times New Roman"/>
          <w:color w:val="auto"/>
          <w:spacing w:val="-2"/>
        </w:rPr>
        <w:t xml:space="preserve"> về kết quả rà soát việc thu phụ phí theo cước vận tải biển</w:t>
      </w:r>
      <w:r w:rsidR="000D011E" w:rsidRPr="00E977F9">
        <w:rPr>
          <w:rFonts w:cs="Times New Roman"/>
          <w:color w:val="auto"/>
          <w:spacing w:val="-2"/>
        </w:rPr>
        <w:t>:</w:t>
      </w:r>
      <w:r w:rsidR="005C0A11" w:rsidRPr="00E977F9">
        <w:rPr>
          <w:rFonts w:cs="Times New Roman"/>
          <w:color w:val="auto"/>
          <w:spacing w:val="-2"/>
        </w:rPr>
        <w:t xml:space="preserve"> </w:t>
      </w:r>
      <w:r w:rsidR="000D011E" w:rsidRPr="00E977F9">
        <w:rPr>
          <w:rFonts w:cs="Times New Roman"/>
          <w:i/>
          <w:color w:val="auto"/>
          <w:spacing w:val="-2"/>
        </w:rPr>
        <w:t>“</w:t>
      </w:r>
      <w:r w:rsidR="005C0A11" w:rsidRPr="00E977F9">
        <w:rPr>
          <w:rFonts w:cs="Times New Roman"/>
          <w:i/>
          <w:color w:val="auto"/>
          <w:spacing w:val="-2"/>
        </w:rPr>
        <w:t>giao Bộ GTVT chủ trì, phối hợp với các Bộ: Tư pháp, Tài chính, Công Thương và các cơ quan liên quan đề xuất quy định về quản lý cước vận tải biển và phụ phí theo cước vận tải biển để đưa vào dự thảo Luật sửa đổi, bổ sung Bộ Luật Hàng hải; thực hiện việc đánh giá thị trường vận tải biển, tổ chức và kiểm soát thị trường vận tải biển, giá cước và các loại phụ phí theo cước vận tải biển để đảm bảo giá cước hợp lý, tạo điều kiện cho doanh nghiệp xuất, nhập khẩu trong nước</w:t>
      </w:r>
      <w:r w:rsidR="000D011E" w:rsidRPr="00E977F9">
        <w:rPr>
          <w:rFonts w:cs="Times New Roman"/>
          <w:i/>
          <w:color w:val="auto"/>
          <w:spacing w:val="-2"/>
        </w:rPr>
        <w:t>”</w:t>
      </w:r>
      <w:r w:rsidR="00AE6945" w:rsidRPr="00E977F9">
        <w:rPr>
          <w:rFonts w:cs="Times New Roman"/>
          <w:i/>
          <w:color w:val="auto"/>
          <w:spacing w:val="-2"/>
        </w:rPr>
        <w:t>,</w:t>
      </w:r>
      <w:r w:rsidR="003500DC" w:rsidRPr="00E977F9">
        <w:rPr>
          <w:rFonts w:cs="Times New Roman"/>
          <w:color w:val="auto"/>
          <w:spacing w:val="-2"/>
        </w:rPr>
        <w:t xml:space="preserve"> Bộ GTVT đã khẩn trương nghiên cứu các quy định</w:t>
      </w:r>
      <w:r w:rsidR="006B5014" w:rsidRPr="00E977F9">
        <w:rPr>
          <w:rFonts w:cs="Times New Roman"/>
          <w:color w:val="auto"/>
          <w:spacing w:val="-2"/>
        </w:rPr>
        <w:t xml:space="preserve"> của pháp luật Việt Nam</w:t>
      </w:r>
      <w:r w:rsidR="003500DC" w:rsidRPr="00E977F9">
        <w:rPr>
          <w:rFonts w:cs="Times New Roman"/>
          <w:color w:val="auto"/>
          <w:spacing w:val="-2"/>
        </w:rPr>
        <w:t xml:space="preserve">, thông lệ quốc tế để đưa nội dung về quản lý phụ thu của các hãng tàu nước ngoài vào dự thảo Bộ luật Hàng hải Việt Nam, đồng thời </w:t>
      </w:r>
      <w:r w:rsidR="003E14B9" w:rsidRPr="00E977F9">
        <w:rPr>
          <w:rFonts w:cs="Times New Roman"/>
          <w:color w:val="auto"/>
          <w:spacing w:val="-2"/>
        </w:rPr>
        <w:t xml:space="preserve">để kịp thời điều chỉnh hoạt động thu các khoản thu của các </w:t>
      </w:r>
      <w:r w:rsidR="003378D3" w:rsidRPr="00E977F9">
        <w:rPr>
          <w:rFonts w:cs="Times New Roman"/>
          <w:color w:val="auto"/>
          <w:spacing w:val="-2"/>
        </w:rPr>
        <w:t xml:space="preserve">hãng tàu, đã </w:t>
      </w:r>
      <w:r w:rsidR="003500DC" w:rsidRPr="00E977F9">
        <w:rPr>
          <w:rFonts w:cs="Times New Roman"/>
          <w:color w:val="auto"/>
          <w:spacing w:val="-2"/>
        </w:rPr>
        <w:t>đăng ký bổ sung Quyết định của Thủ tướng Chính phủ về việc công bố biểu cước vận tải biển, biểu giá dịch vụ cảng vào Chương trình xây dựng VBQPPL năm 2015 của Chính phủ</w:t>
      </w:r>
      <w:r w:rsidR="003378D3" w:rsidRPr="00E977F9">
        <w:rPr>
          <w:rFonts w:cs="Times New Roman"/>
          <w:color w:val="auto"/>
          <w:spacing w:val="-2"/>
        </w:rPr>
        <w:t xml:space="preserve"> và xây dựng dự thảo Quyết định của Thủ tướng Chính phủ về việc công bố biểu cước vận tải biển, biểu giá dịch vụ cảng</w:t>
      </w:r>
      <w:r w:rsidR="003E14B9" w:rsidRPr="00E977F9">
        <w:rPr>
          <w:rFonts w:cs="Times New Roman"/>
          <w:color w:val="auto"/>
          <w:spacing w:val="-2"/>
        </w:rPr>
        <w:t>.</w:t>
      </w:r>
      <w:r w:rsidR="003378D3" w:rsidRPr="00E977F9">
        <w:rPr>
          <w:rFonts w:cs="Times New Roman"/>
          <w:color w:val="auto"/>
          <w:spacing w:val="-2"/>
        </w:rPr>
        <w:t xml:space="preserve"> </w:t>
      </w:r>
      <w:r w:rsidR="006B5014" w:rsidRPr="00E977F9">
        <w:rPr>
          <w:rFonts w:cs="Times New Roman"/>
          <w:color w:val="auto"/>
          <w:spacing w:val="-2"/>
        </w:rPr>
        <w:t>Dự thảo Quyết định này đã được lấy ý kiến rộng rãi của các Bộ, ngành, địa phương, các hiệp hội ngành hàng, chủ tàu</w:t>
      </w:r>
      <w:r w:rsidR="000C737A" w:rsidRPr="00E977F9">
        <w:rPr>
          <w:rFonts w:cs="Times New Roman"/>
          <w:color w:val="auto"/>
          <w:spacing w:val="-2"/>
        </w:rPr>
        <w:t xml:space="preserve"> trong nước và nước ngoài và đã nhận được nhiều phản hồi tích cực và thống nhất cao về chủ trương xây dựng một văn bản quy phạm pháp luật </w:t>
      </w:r>
      <w:r w:rsidR="00AE6945" w:rsidRPr="00E977F9">
        <w:rPr>
          <w:rFonts w:cs="Times New Roman"/>
          <w:color w:val="auto"/>
          <w:spacing w:val="-2"/>
        </w:rPr>
        <w:t>để nhằm công khai, minh bạch các khoản thu của các doanh nghiệp vận tải biển đối với chủ hàng hóa xuất nhập khẩu của Việt Nam.</w:t>
      </w:r>
    </w:p>
    <w:p w:rsidR="00673BD8" w:rsidRPr="00E977F9" w:rsidRDefault="00C51B29" w:rsidP="00E977F9">
      <w:pPr>
        <w:spacing w:before="120" w:after="120" w:line="360" w:lineRule="exact"/>
        <w:ind w:firstLine="720"/>
        <w:jc w:val="both"/>
        <w:rPr>
          <w:rFonts w:cs="Times New Roman"/>
          <w:color w:val="auto"/>
          <w:spacing w:val="-2"/>
        </w:rPr>
      </w:pPr>
      <w:r w:rsidRPr="00E977F9">
        <w:rPr>
          <w:rFonts w:cs="Times New Roman"/>
          <w:color w:val="auto"/>
        </w:rPr>
        <w:t xml:space="preserve">2. </w:t>
      </w:r>
      <w:r w:rsidR="00324F54" w:rsidRPr="00E977F9">
        <w:rPr>
          <w:rFonts w:cs="Times New Roman"/>
          <w:color w:val="auto"/>
        </w:rPr>
        <w:t>Ngày 25</w:t>
      </w:r>
      <w:r w:rsidR="00673BD8" w:rsidRPr="00E977F9">
        <w:rPr>
          <w:rFonts w:cs="Times New Roman"/>
          <w:color w:val="auto"/>
        </w:rPr>
        <w:t xml:space="preserve"> thán</w:t>
      </w:r>
      <w:r w:rsidR="00324F54" w:rsidRPr="00E977F9">
        <w:rPr>
          <w:rFonts w:cs="Times New Roman"/>
          <w:color w:val="auto"/>
        </w:rPr>
        <w:t>g 11</w:t>
      </w:r>
      <w:r w:rsidR="00673BD8" w:rsidRPr="00E977F9">
        <w:rPr>
          <w:rFonts w:cs="Times New Roman"/>
          <w:color w:val="auto"/>
        </w:rPr>
        <w:t xml:space="preserve"> năm 2015</w:t>
      </w:r>
      <w:r w:rsidR="00324F54" w:rsidRPr="00E977F9">
        <w:rPr>
          <w:rFonts w:cs="Times New Roman"/>
          <w:color w:val="auto"/>
        </w:rPr>
        <w:t xml:space="preserve">, Quốc hội nước Cộng hòa Xã hội chủ nghĩa Việt Nam đã thông qua Bộ luật Hàng hải Việt Nam năm 2015, theo đó, tại </w:t>
      </w:r>
      <w:r w:rsidR="00673BD8" w:rsidRPr="00E977F9">
        <w:rPr>
          <w:rFonts w:cs="Times New Roman"/>
          <w:color w:val="auto"/>
        </w:rPr>
        <w:t xml:space="preserve"> </w:t>
      </w:r>
      <w:r w:rsidR="00324F54" w:rsidRPr="00E977F9">
        <w:rPr>
          <w:rFonts w:cs="Times New Roman"/>
          <w:color w:val="auto"/>
        </w:rPr>
        <w:t>khoản 2, Điều 149 quy định</w:t>
      </w:r>
      <w:r w:rsidR="00673BD8" w:rsidRPr="00E977F9">
        <w:rPr>
          <w:rFonts w:cs="Times New Roman"/>
          <w:color w:val="auto"/>
        </w:rPr>
        <w:t>: “</w:t>
      </w:r>
      <w:r w:rsidR="00673BD8" w:rsidRPr="00E977F9">
        <w:rPr>
          <w:rFonts w:cs="Times New Roman"/>
          <w:i/>
          <w:color w:val="auto"/>
        </w:rPr>
        <w:t>Doanh nghiệp thực hiện việc niêm yết giá theo quy định của pháp luật về giá và niêm yết phụ thu ngoài giá dịch vụ vận chuyển bằng đường biển theo quy định của Chính phủ</w:t>
      </w:r>
      <w:r w:rsidR="00673BD8" w:rsidRPr="00E977F9">
        <w:rPr>
          <w:rFonts w:cs="Times New Roman"/>
          <w:color w:val="auto"/>
        </w:rPr>
        <w:t>”.</w:t>
      </w:r>
    </w:p>
    <w:p w:rsidR="00052903" w:rsidRDefault="001B51D7" w:rsidP="00E977F9">
      <w:pPr>
        <w:spacing w:before="120" w:after="120" w:line="360" w:lineRule="exact"/>
        <w:ind w:firstLine="720"/>
        <w:jc w:val="both"/>
        <w:rPr>
          <w:rFonts w:cs="Times New Roman"/>
        </w:rPr>
      </w:pPr>
      <w:r w:rsidRPr="00E977F9">
        <w:rPr>
          <w:rFonts w:cs="Times New Roman"/>
          <w:color w:val="auto"/>
          <w:spacing w:val="-2"/>
        </w:rPr>
        <w:t>Bộ GTVT thấy rằng để tạo điều kiện thuận lợi hơn nữa cho doanh nghiệp xuất nhập khẩu cũng như các doanh nghiệp vận tải biển, doanh nghiệp kinh doanh dịch vụ logistics, vận tải đa phương thức, giao nhận hàng hóa,..Bộ GTVT xin đề xuất mở rộng phạm vi điều chỉnh</w:t>
      </w:r>
      <w:r w:rsidR="00176CFA">
        <w:rPr>
          <w:rFonts w:cs="Times New Roman"/>
          <w:color w:val="auto"/>
          <w:spacing w:val="-2"/>
        </w:rPr>
        <w:t>, đó là việc quy định</w:t>
      </w:r>
      <w:r w:rsidRPr="00E977F9">
        <w:rPr>
          <w:rFonts w:cs="Times New Roman"/>
          <w:color w:val="auto"/>
          <w:spacing w:val="-2"/>
        </w:rPr>
        <w:t xml:space="preserve"> </w:t>
      </w:r>
      <w:r w:rsidR="00176CFA" w:rsidRPr="00E977F9">
        <w:rPr>
          <w:rFonts w:cs="Times New Roman"/>
        </w:rPr>
        <w:t xml:space="preserve">việc niêm yết </w:t>
      </w:r>
      <w:r w:rsidR="00176CFA">
        <w:rPr>
          <w:rFonts w:cs="Times New Roman"/>
        </w:rPr>
        <w:t>“</w:t>
      </w:r>
      <w:r w:rsidR="00176CFA" w:rsidRPr="00E977F9">
        <w:rPr>
          <w:rFonts w:cs="Times New Roman"/>
        </w:rPr>
        <w:t>giá</w:t>
      </w:r>
      <w:r w:rsidR="000D3137">
        <w:rPr>
          <w:rFonts w:cs="Times New Roman"/>
        </w:rPr>
        <w:t xml:space="preserve"> dịch vụ vận chuyển bằng đường biển</w:t>
      </w:r>
      <w:r w:rsidR="00176CFA">
        <w:rPr>
          <w:rFonts w:cs="Times New Roman"/>
        </w:rPr>
        <w:t>”</w:t>
      </w:r>
      <w:r w:rsidR="00176CFA" w:rsidRPr="00E977F9">
        <w:rPr>
          <w:rFonts w:cs="Times New Roman"/>
          <w:color w:val="auto"/>
          <w:spacing w:val="-2"/>
        </w:rPr>
        <w:t xml:space="preserve"> </w:t>
      </w:r>
      <w:r w:rsidRPr="00E977F9">
        <w:rPr>
          <w:rFonts w:cs="Times New Roman"/>
          <w:color w:val="auto"/>
          <w:spacing w:val="-2"/>
        </w:rPr>
        <w:t>và</w:t>
      </w:r>
      <w:r w:rsidR="00382828" w:rsidRPr="00E977F9">
        <w:rPr>
          <w:rFonts w:cs="Times New Roman"/>
          <w:color w:val="auto"/>
          <w:spacing w:val="-2"/>
        </w:rPr>
        <w:t xml:space="preserve"> </w:t>
      </w:r>
      <w:r w:rsidR="00176CFA">
        <w:rPr>
          <w:rFonts w:cs="Times New Roman"/>
          <w:color w:val="auto"/>
          <w:spacing w:val="-2"/>
        </w:rPr>
        <w:t>“</w:t>
      </w:r>
      <w:r w:rsidR="00176CFA" w:rsidRPr="00E977F9">
        <w:rPr>
          <w:rFonts w:cs="Times New Roman"/>
        </w:rPr>
        <w:t>giá dịch vụ cảng</w:t>
      </w:r>
      <w:r w:rsidR="00176CFA">
        <w:rPr>
          <w:rFonts w:cs="Times New Roman"/>
        </w:rPr>
        <w:t xml:space="preserve">” </w:t>
      </w:r>
      <w:r w:rsidR="00176CFA" w:rsidRPr="00E977F9">
        <w:rPr>
          <w:rFonts w:cs="Times New Roman"/>
          <w:color w:val="auto"/>
          <w:spacing w:val="-2"/>
        </w:rPr>
        <w:t xml:space="preserve"> </w:t>
      </w:r>
      <w:r w:rsidR="00176CFA">
        <w:rPr>
          <w:rFonts w:cs="Times New Roman"/>
          <w:color w:val="auto"/>
          <w:spacing w:val="-2"/>
        </w:rPr>
        <w:t>vào</w:t>
      </w:r>
      <w:r w:rsidR="00A11425" w:rsidRPr="00E977F9">
        <w:rPr>
          <w:rFonts w:cs="Times New Roman"/>
          <w:color w:val="auto"/>
          <w:spacing w:val="-2"/>
        </w:rPr>
        <w:t xml:space="preserve"> </w:t>
      </w:r>
      <w:r w:rsidR="00176CFA">
        <w:rPr>
          <w:rFonts w:cs="Times New Roman"/>
        </w:rPr>
        <w:t xml:space="preserve">Dự thảo </w:t>
      </w:r>
      <w:r w:rsidR="00382828" w:rsidRPr="00E977F9">
        <w:rPr>
          <w:rFonts w:cs="Times New Roman"/>
        </w:rPr>
        <w:t xml:space="preserve">Nghị định </w:t>
      </w:r>
      <w:r w:rsidR="00B53DBC" w:rsidRPr="00E977F9">
        <w:rPr>
          <w:rFonts w:cs="Times New Roman"/>
        </w:rPr>
        <w:t>vì</w:t>
      </w:r>
      <w:r w:rsidR="00382828" w:rsidRPr="00E977F9">
        <w:rPr>
          <w:rFonts w:cs="Times New Roman"/>
        </w:rPr>
        <w:t xml:space="preserve"> lý do </w:t>
      </w:r>
      <w:r w:rsidR="00382828" w:rsidRPr="00176CFA">
        <w:rPr>
          <w:rFonts w:cs="Times New Roman"/>
        </w:rPr>
        <w:t xml:space="preserve">sau đây: </w:t>
      </w:r>
    </w:p>
    <w:p w:rsidR="007962D7" w:rsidRDefault="007962D7" w:rsidP="00E977F9">
      <w:pPr>
        <w:spacing w:before="120" w:after="120" w:line="360" w:lineRule="exact"/>
        <w:ind w:firstLine="720"/>
        <w:jc w:val="both"/>
        <w:rPr>
          <w:rFonts w:cs="Times New Roman"/>
        </w:rPr>
      </w:pPr>
      <w:r>
        <w:rPr>
          <w:rFonts w:cs="Times New Roman"/>
        </w:rPr>
        <w:t>2.1. Về cơ sở thực tiễn:</w:t>
      </w:r>
    </w:p>
    <w:p w:rsidR="007962D7" w:rsidRPr="008A5956" w:rsidRDefault="007962D7" w:rsidP="007962D7">
      <w:pPr>
        <w:spacing w:before="120" w:after="120" w:line="360" w:lineRule="exact"/>
        <w:ind w:firstLine="720"/>
        <w:jc w:val="both"/>
        <w:rPr>
          <w:rFonts w:cs="Times New Roman"/>
        </w:rPr>
      </w:pPr>
      <w:r w:rsidRPr="00176CFA">
        <w:rPr>
          <w:rFonts w:cs="Times New Roman"/>
        </w:rPr>
        <w:t xml:space="preserve">Hiện tại, </w:t>
      </w:r>
      <w:r w:rsidRPr="00176CFA">
        <w:rPr>
          <w:rFonts w:cs="Times New Roman"/>
          <w:lang w:val="vi-VN"/>
        </w:rPr>
        <w:t xml:space="preserve">các chủ hàng </w:t>
      </w:r>
      <w:r w:rsidRPr="00176CFA">
        <w:rPr>
          <w:rFonts w:cs="Times New Roman"/>
        </w:rPr>
        <w:t xml:space="preserve">xuất nhập khẩu </w:t>
      </w:r>
      <w:r w:rsidRPr="00176CFA">
        <w:rPr>
          <w:rFonts w:cs="Times New Roman"/>
          <w:lang w:val="vi-VN"/>
        </w:rPr>
        <w:t>Việt Nam thường sử dụng hình thức mua CIF</w:t>
      </w:r>
      <w:r w:rsidRPr="00176CFA">
        <w:rPr>
          <w:rFonts w:cs="Times New Roman"/>
        </w:rPr>
        <w:t>,</w:t>
      </w:r>
      <w:r w:rsidRPr="00176CFA">
        <w:rPr>
          <w:rFonts w:cs="Times New Roman"/>
          <w:lang w:val="vi-VN"/>
        </w:rPr>
        <w:t xml:space="preserve"> bán</w:t>
      </w:r>
      <w:r w:rsidRPr="00E977F9">
        <w:rPr>
          <w:rFonts w:cs="Times New Roman"/>
          <w:lang w:val="vi-VN"/>
        </w:rPr>
        <w:t xml:space="preserve"> FOB nên quyền thuê phương tiện và đàm phán hợp đồng vận chuyển, thanh toán giá vận chuyển chủ yếu phụ thuộc vào đối tác nước ngoài.</w:t>
      </w:r>
      <w:r w:rsidRPr="00E977F9">
        <w:rPr>
          <w:rFonts w:cs="Times New Roman"/>
        </w:rPr>
        <w:t xml:space="preserve"> Do đó, các doanh nghiệp XNK phải trả các khoản phụ thu </w:t>
      </w:r>
      <w:r w:rsidRPr="00E977F9">
        <w:rPr>
          <w:rFonts w:cs="Times New Roman"/>
          <w:lang w:val="vi-VN"/>
        </w:rPr>
        <w:t>ngoài giá vận chuyển bằng đường biển mà không được quy định rõ ràng trong hợp đồng vận chuyển cũng như hợp đồng thương mại xuất nhập khẩu.</w:t>
      </w:r>
      <w:r w:rsidRPr="00E977F9">
        <w:rPr>
          <w:rFonts w:cs="Times New Roman"/>
        </w:rPr>
        <w:t xml:space="preserve"> Tuy các khoản phụ thu này cũng đều được thu ở các nước theo thông lệ quốc tế, nhưng việc thu các khoản phụ thu này tại Việt Nam vẫn còn nhiều bất cập, đó là: </w:t>
      </w:r>
      <w:r w:rsidRPr="00E977F9">
        <w:rPr>
          <w:rFonts w:cs="Times New Roman"/>
          <w:lang w:val="vi-VN"/>
        </w:rPr>
        <w:t xml:space="preserve">Không có sự đồng thuận giữa hãng tàu và chủ hàng XNK Việt Nam; </w:t>
      </w:r>
      <w:r w:rsidRPr="00E977F9">
        <w:rPr>
          <w:rFonts w:cs="Times New Roman"/>
        </w:rPr>
        <w:t xml:space="preserve">Không có sự thông báo trước về mức thu cũng như thời gian thu; </w:t>
      </w:r>
      <w:r w:rsidRPr="00E977F9">
        <w:rPr>
          <w:rFonts w:cs="Times New Roman"/>
          <w:lang w:val="vi-VN"/>
        </w:rPr>
        <w:lastRenderedPageBreak/>
        <w:t>Chưa có cơ quan quản lý các loại phụ thu ngoài giá vận chuyển bằng đường biển;</w:t>
      </w:r>
      <w:r w:rsidRPr="00E977F9">
        <w:rPr>
          <w:rFonts w:cs="Times New Roman"/>
        </w:rPr>
        <w:t xml:space="preserve">…Đặc biệt, </w:t>
      </w:r>
      <w:r>
        <w:rPr>
          <w:rFonts w:cs="Times New Roman"/>
        </w:rPr>
        <w:t xml:space="preserve">trong một số trường hợp </w:t>
      </w:r>
      <w:r w:rsidRPr="00E977F9">
        <w:rPr>
          <w:rFonts w:cs="Times New Roman"/>
        </w:rPr>
        <w:t xml:space="preserve">các </w:t>
      </w:r>
      <w:r w:rsidRPr="00E977F9">
        <w:rPr>
          <w:rFonts w:cs="Times New Roman"/>
          <w:lang w:val="vi-VN"/>
        </w:rPr>
        <w:t>mức phụ thu được thu bởi hãng tàu nước ngoài</w:t>
      </w:r>
      <w:r w:rsidRPr="00E977F9">
        <w:rPr>
          <w:rFonts w:cs="Times New Roman"/>
        </w:rPr>
        <w:t xml:space="preserve"> c</w:t>
      </w:r>
      <w:r w:rsidRPr="00E977F9">
        <w:rPr>
          <w:rFonts w:cs="Times New Roman"/>
          <w:lang w:val="vi-VN"/>
        </w:rPr>
        <w:t xml:space="preserve">ao hơn </w:t>
      </w:r>
      <w:r w:rsidRPr="008A5956">
        <w:rPr>
          <w:rFonts w:cs="Times New Roman"/>
          <w:lang w:val="vi-VN"/>
        </w:rPr>
        <w:t>nhiều so với mức hãng tàu trả cho nhà cung cấp dịch vụ</w:t>
      </w:r>
      <w:r w:rsidRPr="008A5956">
        <w:rPr>
          <w:rFonts w:cs="Times New Roman"/>
        </w:rPr>
        <w:t xml:space="preserve"> mà trong đó các chi phí dịch vụ tại cảng địa phương chiếm tỷ lệ cao trong tổng chi phí của hãng tàu như: phụ thu điều chuyển công-te-nơ rỗng, phụ thu phụ trội cho hàng nguy hiểm, phụ thu tắc nghẽn cảng, phụ thu vận chuyển hàng nặng, phụ thu mùa cao điểm, phụ thu tác nghiệp công-te-nơ (THC),…Do đó, các chủ hàng XNK Việt Nam khó có thể xác định các khoản phụ thu có hợp lý hay không. Để tạo điều kiện thuận lợi cho doanh nghiệp XNK dễ dàng so sánh mức thu của các hãng tàu để có thể lựa chọn hãng tàu có chất lượng dịch vụ cao, minh bạch mà không phải mất nhiều thời gian để tìm hiểu các chi phí dịch vụ tại các cảng, do đó cần thiết mở rộng phạm vi niêm yết đối với dịch vụ cảng.</w:t>
      </w:r>
    </w:p>
    <w:p w:rsidR="007962D7" w:rsidRPr="00176CFA" w:rsidRDefault="007962D7" w:rsidP="00E977F9">
      <w:pPr>
        <w:spacing w:before="120" w:after="120" w:line="360" w:lineRule="exact"/>
        <w:ind w:firstLine="720"/>
        <w:jc w:val="both"/>
        <w:rPr>
          <w:rFonts w:cs="Times New Roman"/>
        </w:rPr>
      </w:pPr>
      <w:r>
        <w:rPr>
          <w:rFonts w:cs="Times New Roman"/>
        </w:rPr>
        <w:t>2.2. Về cơ sở pháp lý:</w:t>
      </w:r>
    </w:p>
    <w:p w:rsidR="00DF7E9F" w:rsidRDefault="00176CFA" w:rsidP="00E977F9">
      <w:pPr>
        <w:spacing w:before="120" w:after="120" w:line="360" w:lineRule="exact"/>
        <w:ind w:firstLine="720"/>
        <w:jc w:val="both"/>
        <w:rPr>
          <w:rFonts w:cs="Times New Roman"/>
          <w:color w:val="auto"/>
          <w:spacing w:val="-2"/>
        </w:rPr>
      </w:pPr>
      <w:r w:rsidRPr="00176CFA">
        <w:rPr>
          <w:rFonts w:cs="Times New Roman"/>
          <w:color w:val="auto"/>
          <w:spacing w:val="-2"/>
        </w:rPr>
        <w:t xml:space="preserve">- </w:t>
      </w:r>
      <w:r w:rsidR="007A497A">
        <w:rPr>
          <w:rFonts w:cs="Times New Roman"/>
          <w:color w:val="auto"/>
          <w:spacing w:val="-2"/>
        </w:rPr>
        <w:t>C</w:t>
      </w:r>
      <w:r w:rsidR="00052903" w:rsidRPr="00176CFA">
        <w:rPr>
          <w:rFonts w:cs="Times New Roman"/>
          <w:color w:val="auto"/>
          <w:spacing w:val="-2"/>
        </w:rPr>
        <w:t>ăn cứ Điều 12 của Lu</w:t>
      </w:r>
      <w:r w:rsidR="006813C5">
        <w:rPr>
          <w:rFonts w:cs="Times New Roman"/>
          <w:color w:val="auto"/>
          <w:spacing w:val="-2"/>
        </w:rPr>
        <w:t>ật Giá ngày 20 tháng 6 năm 2012 quy định nghĩa vụ của tổ chức, cá nhân</w:t>
      </w:r>
      <w:r w:rsidR="000D7CF8">
        <w:rPr>
          <w:rFonts w:cs="Times New Roman"/>
          <w:color w:val="auto"/>
          <w:spacing w:val="-2"/>
        </w:rPr>
        <w:t xml:space="preserve"> sản xuất, kinh doanh đối với hoạt động niêm yết giá như sau: “</w:t>
      </w:r>
      <w:r w:rsidR="000D7CF8">
        <w:rPr>
          <w:rFonts w:cs="Times New Roman"/>
          <w:i/>
          <w:color w:val="auto"/>
          <w:spacing w:val="-2"/>
        </w:rPr>
        <w:t xml:space="preserve">Đối với hàng hóa, dịch vụ không thuộc Danh mục hàng hóa, dịch vụ do Nhà nước </w:t>
      </w:r>
      <w:r w:rsidR="00B14F8D">
        <w:rPr>
          <w:rFonts w:cs="Times New Roman"/>
          <w:i/>
          <w:color w:val="auto"/>
          <w:spacing w:val="-2"/>
        </w:rPr>
        <w:t xml:space="preserve">định giá thì niêm yết theo giá do tổ chức, cá nhân sản xuất, kinh doanh </w:t>
      </w:r>
      <w:r w:rsidR="00D063A5">
        <w:rPr>
          <w:rFonts w:cs="Times New Roman"/>
          <w:i/>
          <w:color w:val="auto"/>
          <w:spacing w:val="-2"/>
        </w:rPr>
        <w:t>quyết định và không được</w:t>
      </w:r>
      <w:r w:rsidR="00DF7E9F">
        <w:rPr>
          <w:rFonts w:cs="Times New Roman"/>
          <w:i/>
          <w:color w:val="auto"/>
          <w:spacing w:val="-2"/>
        </w:rPr>
        <w:t xml:space="preserve"> mua, bán cao hơn giá niêm yết”;</w:t>
      </w:r>
      <w:r w:rsidR="00B0413C">
        <w:rPr>
          <w:rFonts w:cs="Times New Roman"/>
          <w:i/>
          <w:color w:val="auto"/>
          <w:spacing w:val="-2"/>
        </w:rPr>
        <w:t xml:space="preserve"> </w:t>
      </w:r>
      <w:r w:rsidR="00DF7E9F" w:rsidRPr="00A97DC1">
        <w:rPr>
          <w:rFonts w:cs="Times New Roman"/>
          <w:color w:val="auto"/>
          <w:spacing w:val="-2"/>
        </w:rPr>
        <w:t>Nghị định số 177/2013/NĐ-CP Quy định chi tiết và hướng dẫn thi hành một số điều của Luật Giá</w:t>
      </w:r>
      <w:r w:rsidR="00DF7E9F">
        <w:rPr>
          <w:rFonts w:cs="Times New Roman"/>
          <w:color w:val="auto"/>
          <w:spacing w:val="-2"/>
        </w:rPr>
        <w:t xml:space="preserve"> và các quy định của pháp luật về giá có liên quan</w:t>
      </w:r>
      <w:r w:rsidR="000D3137">
        <w:rPr>
          <w:rFonts w:cs="Times New Roman"/>
          <w:color w:val="auto"/>
          <w:spacing w:val="-2"/>
        </w:rPr>
        <w:t xml:space="preserve">, </w:t>
      </w:r>
      <w:r w:rsidR="00DF7E9F">
        <w:rPr>
          <w:rFonts w:cs="Times New Roman"/>
          <w:color w:val="auto"/>
          <w:spacing w:val="-2"/>
        </w:rPr>
        <w:t>hiện tại</w:t>
      </w:r>
      <w:r w:rsidR="00DF7E9F">
        <w:rPr>
          <w:rFonts w:cs="Times New Roman"/>
        </w:rPr>
        <w:t xml:space="preserve"> </w:t>
      </w:r>
      <w:r w:rsidR="000D3137" w:rsidRPr="00DF7E9F">
        <w:rPr>
          <w:rFonts w:cs="Times New Roman"/>
          <w:i/>
        </w:rPr>
        <w:t>“giá dịch vụ vận chuyển bằng đường biển”</w:t>
      </w:r>
      <w:r w:rsidR="000D3137" w:rsidRPr="00E977F9">
        <w:rPr>
          <w:rFonts w:cs="Times New Roman"/>
          <w:color w:val="auto"/>
          <w:spacing w:val="-2"/>
        </w:rPr>
        <w:t xml:space="preserve"> </w:t>
      </w:r>
      <w:r w:rsidR="00DF7E9F">
        <w:rPr>
          <w:rFonts w:cs="Times New Roman"/>
          <w:color w:val="auto"/>
          <w:spacing w:val="-2"/>
        </w:rPr>
        <w:t xml:space="preserve">hiện không thuộc nhóm đối tượng phải kê khai cũng như do Nhà nước định giá </w:t>
      </w:r>
      <w:r w:rsidR="000D3137" w:rsidRPr="00E977F9">
        <w:rPr>
          <w:rFonts w:cs="Times New Roman"/>
          <w:color w:val="auto"/>
          <w:spacing w:val="-2"/>
        </w:rPr>
        <w:t xml:space="preserve">và </w:t>
      </w:r>
      <w:r w:rsidR="000D3137" w:rsidRPr="00DF7E9F">
        <w:rPr>
          <w:rFonts w:cs="Times New Roman"/>
          <w:i/>
          <w:color w:val="auto"/>
          <w:spacing w:val="-2"/>
        </w:rPr>
        <w:t>“</w:t>
      </w:r>
      <w:r w:rsidR="000D3137" w:rsidRPr="00DF7E9F">
        <w:rPr>
          <w:rFonts w:cs="Times New Roman"/>
          <w:i/>
        </w:rPr>
        <w:t>giá dịch vụ cảng”</w:t>
      </w:r>
      <w:r w:rsidR="000D3137">
        <w:rPr>
          <w:rFonts w:cs="Times New Roman"/>
        </w:rPr>
        <w:t xml:space="preserve"> </w:t>
      </w:r>
      <w:r w:rsidR="00DF7E9F">
        <w:rPr>
          <w:rFonts w:cs="Times New Roman"/>
        </w:rPr>
        <w:t>là dịch vụ thuộc diện</w:t>
      </w:r>
      <w:r w:rsidR="00DF7E9F" w:rsidRPr="00DF7E9F">
        <w:rPr>
          <w:rFonts w:cs="Times New Roman"/>
          <w:color w:val="auto"/>
          <w:spacing w:val="-2"/>
        </w:rPr>
        <w:t xml:space="preserve"> </w:t>
      </w:r>
      <w:r w:rsidR="00DF7E9F">
        <w:rPr>
          <w:rFonts w:cs="Times New Roman"/>
          <w:color w:val="auto"/>
          <w:spacing w:val="-2"/>
        </w:rPr>
        <w:t>kê khai giá</w:t>
      </w:r>
      <w:r w:rsidR="00E0531C">
        <w:rPr>
          <w:rFonts w:cs="Times New Roman"/>
          <w:color w:val="auto"/>
          <w:spacing w:val="-2"/>
        </w:rPr>
        <w:t>. Đây là nhóm đối tượng đặc thù chưa được điều chỉnh cụ thể trong pháp luật về giá, vì vậy cần thiết phải quản lý việc niêm yết giá đối với hai dịch vụ này</w:t>
      </w:r>
      <w:r w:rsidR="00DF7E9F">
        <w:rPr>
          <w:rFonts w:cs="Times New Roman"/>
          <w:color w:val="auto"/>
          <w:spacing w:val="-2"/>
        </w:rPr>
        <w:t xml:space="preserve">. </w:t>
      </w:r>
    </w:p>
    <w:p w:rsidR="00E0531C" w:rsidRDefault="00DF7E9F" w:rsidP="00E977F9">
      <w:pPr>
        <w:spacing w:before="120" w:after="120" w:line="360" w:lineRule="exact"/>
        <w:ind w:firstLine="720"/>
        <w:jc w:val="both"/>
        <w:rPr>
          <w:rFonts w:cs="Times New Roman"/>
          <w:color w:val="auto"/>
          <w:spacing w:val="-2"/>
        </w:rPr>
      </w:pPr>
      <w:r>
        <w:rPr>
          <w:rFonts w:cs="Times New Roman"/>
          <w:color w:val="auto"/>
          <w:spacing w:val="-2"/>
        </w:rPr>
        <w:t xml:space="preserve">- Căn cứ Điều 8 </w:t>
      </w:r>
      <w:r w:rsidRPr="00176CFA">
        <w:rPr>
          <w:rFonts w:cs="Times New Roman"/>
          <w:color w:val="auto"/>
          <w:spacing w:val="-2"/>
        </w:rPr>
        <w:t>của Lu</w:t>
      </w:r>
      <w:r>
        <w:rPr>
          <w:rFonts w:cs="Times New Roman"/>
          <w:color w:val="auto"/>
          <w:spacing w:val="-2"/>
        </w:rPr>
        <w:t xml:space="preserve">ật Giá </w:t>
      </w:r>
      <w:r w:rsidR="00E0531C">
        <w:rPr>
          <w:rFonts w:cs="Times New Roman"/>
          <w:color w:val="auto"/>
          <w:spacing w:val="-2"/>
        </w:rPr>
        <w:t xml:space="preserve">quy định thẩm quyền quản lý nhà nước trong lĩnh vực giá </w:t>
      </w:r>
      <w:r>
        <w:rPr>
          <w:rFonts w:cs="Times New Roman"/>
          <w:color w:val="auto"/>
          <w:spacing w:val="-2"/>
        </w:rPr>
        <w:t xml:space="preserve">và Điều 21 của </w:t>
      </w:r>
      <w:r w:rsidR="00E0531C" w:rsidRPr="00A97DC1">
        <w:rPr>
          <w:rFonts w:cs="Times New Roman"/>
          <w:color w:val="auto"/>
          <w:spacing w:val="-2"/>
        </w:rPr>
        <w:t>Nghị định số 177/2013/NĐ-CP Quy định chi tiết và hướng dẫn thi hành một số điều của Luật Giá</w:t>
      </w:r>
      <w:r w:rsidR="00E0531C">
        <w:rPr>
          <w:rFonts w:cs="Times New Roman"/>
          <w:color w:val="auto"/>
          <w:spacing w:val="-2"/>
        </w:rPr>
        <w:t xml:space="preserve"> quy định thẩm quyền quản lý nhà nước về giá của các Bộ: Để thống nhất quản lý việc niêm yết giá đặc thù trong lĩnh vực giao thông vận tải, Bộ GTVT </w:t>
      </w:r>
      <w:r w:rsidR="007962D7">
        <w:rPr>
          <w:rFonts w:cs="Times New Roman"/>
          <w:color w:val="auto"/>
          <w:spacing w:val="-2"/>
        </w:rPr>
        <w:t xml:space="preserve">đề nghị Chính phủ quy định </w:t>
      </w:r>
      <w:r w:rsidR="007962D7" w:rsidRPr="00E977F9">
        <w:rPr>
          <w:rFonts w:cs="Times New Roman"/>
        </w:rPr>
        <w:t xml:space="preserve">việc niêm yết </w:t>
      </w:r>
      <w:r w:rsidR="007962D7">
        <w:rPr>
          <w:rFonts w:cs="Times New Roman"/>
        </w:rPr>
        <w:t>“</w:t>
      </w:r>
      <w:r w:rsidR="007962D7" w:rsidRPr="00E977F9">
        <w:rPr>
          <w:rFonts w:cs="Times New Roman"/>
        </w:rPr>
        <w:t>giá</w:t>
      </w:r>
      <w:r w:rsidR="007962D7">
        <w:rPr>
          <w:rFonts w:cs="Times New Roman"/>
        </w:rPr>
        <w:t xml:space="preserve"> dịch vụ vận chuyển bằng đường biển”</w:t>
      </w:r>
      <w:r w:rsidR="007962D7" w:rsidRPr="00E977F9">
        <w:rPr>
          <w:rFonts w:cs="Times New Roman"/>
          <w:color w:val="auto"/>
          <w:spacing w:val="-2"/>
        </w:rPr>
        <w:t xml:space="preserve"> và </w:t>
      </w:r>
      <w:r w:rsidR="007962D7">
        <w:rPr>
          <w:rFonts w:cs="Times New Roman"/>
          <w:color w:val="auto"/>
          <w:spacing w:val="-2"/>
        </w:rPr>
        <w:t>“</w:t>
      </w:r>
      <w:r w:rsidR="007962D7" w:rsidRPr="00E977F9">
        <w:rPr>
          <w:rFonts w:cs="Times New Roman"/>
        </w:rPr>
        <w:t>giá dịch vụ cảng</w:t>
      </w:r>
      <w:r w:rsidR="007962D7">
        <w:rPr>
          <w:rFonts w:cs="Times New Roman"/>
        </w:rPr>
        <w:t xml:space="preserve">” </w:t>
      </w:r>
      <w:r w:rsidR="007962D7" w:rsidRPr="00E977F9">
        <w:rPr>
          <w:rFonts w:cs="Times New Roman"/>
          <w:color w:val="auto"/>
          <w:spacing w:val="-2"/>
        </w:rPr>
        <w:t xml:space="preserve"> </w:t>
      </w:r>
      <w:r w:rsidR="007962D7">
        <w:rPr>
          <w:rFonts w:cs="Times New Roman"/>
          <w:color w:val="auto"/>
          <w:spacing w:val="-2"/>
        </w:rPr>
        <w:t>vào</w:t>
      </w:r>
      <w:r w:rsidR="007962D7" w:rsidRPr="00E977F9">
        <w:rPr>
          <w:rFonts w:cs="Times New Roman"/>
          <w:color w:val="auto"/>
          <w:spacing w:val="-2"/>
        </w:rPr>
        <w:t xml:space="preserve"> </w:t>
      </w:r>
      <w:r w:rsidR="007962D7">
        <w:rPr>
          <w:rFonts w:cs="Times New Roman"/>
        </w:rPr>
        <w:t xml:space="preserve">Dự thảo </w:t>
      </w:r>
      <w:r w:rsidR="007962D7" w:rsidRPr="00E977F9">
        <w:rPr>
          <w:rFonts w:cs="Times New Roman"/>
        </w:rPr>
        <w:t>Nghị</w:t>
      </w:r>
      <w:r w:rsidR="007962D7">
        <w:rPr>
          <w:rFonts w:cs="Times New Roman"/>
        </w:rPr>
        <w:t xml:space="preserve"> định.</w:t>
      </w:r>
    </w:p>
    <w:p w:rsidR="00933829" w:rsidRPr="008A5956" w:rsidRDefault="008E7FF3" w:rsidP="00E977F9">
      <w:pPr>
        <w:spacing w:before="120" w:after="120" w:line="360" w:lineRule="exact"/>
        <w:ind w:firstLine="720"/>
        <w:jc w:val="both"/>
        <w:rPr>
          <w:rFonts w:cs="Times New Roman"/>
        </w:rPr>
      </w:pPr>
      <w:r w:rsidRPr="008A5956">
        <w:rPr>
          <w:rFonts w:cs="Times New Roman"/>
        </w:rPr>
        <w:t xml:space="preserve">Như vậy, căn cứ vào các quy định hiện hành, </w:t>
      </w:r>
      <w:r w:rsidR="00584DFA" w:rsidRPr="008A5956">
        <w:rPr>
          <w:rFonts w:cs="Times New Roman"/>
        </w:rPr>
        <w:t>cũng như thông lệ quốc tế, việc ban hành Nghị định Quy định việc niêm yết giá, phụ thu ngoài giá dịch vụ vận chuyển bằng đường biển và giá dịch vụ cảng là cần thiết.</w:t>
      </w:r>
    </w:p>
    <w:p w:rsidR="00565A37" w:rsidRPr="006A73A0" w:rsidRDefault="00565A37" w:rsidP="00E977F9">
      <w:pPr>
        <w:spacing w:before="120" w:after="120" w:line="360" w:lineRule="exact"/>
        <w:ind w:right="-6" w:firstLine="720"/>
        <w:jc w:val="both"/>
        <w:rPr>
          <w:rFonts w:cs="Times New Roman"/>
          <w:b/>
          <w:bCs/>
          <w:lang w:val="pl-PL"/>
        </w:rPr>
      </w:pPr>
      <w:r w:rsidRPr="006A73A0">
        <w:rPr>
          <w:rFonts w:cs="Times New Roman"/>
          <w:b/>
          <w:bCs/>
          <w:lang w:val="pl-PL"/>
        </w:rPr>
        <w:t>II. Nguyên tắc chỉ đạo trong việc xây dựng Nghị định</w:t>
      </w:r>
    </w:p>
    <w:p w:rsidR="00565A37" w:rsidRPr="006A73A0" w:rsidRDefault="00565A37" w:rsidP="00E977F9">
      <w:pPr>
        <w:spacing w:before="120" w:after="120" w:line="360" w:lineRule="exact"/>
        <w:ind w:right="-5" w:firstLine="720"/>
        <w:jc w:val="both"/>
        <w:rPr>
          <w:rFonts w:cs="Times New Roman"/>
          <w:bCs/>
          <w:lang w:val="pl-PL"/>
        </w:rPr>
      </w:pPr>
      <w:r w:rsidRPr="006A73A0">
        <w:rPr>
          <w:rFonts w:cs="Times New Roman"/>
          <w:bCs/>
          <w:lang w:val="pl-PL"/>
        </w:rPr>
        <w:t>Việc soạn thảo Nghị định được tuân theo các nguyên tắc chỉ đạo sau đây:</w:t>
      </w:r>
    </w:p>
    <w:p w:rsidR="00565A37" w:rsidRPr="006A73A0" w:rsidRDefault="00565A37" w:rsidP="00E977F9">
      <w:pPr>
        <w:spacing w:before="120" w:after="120" w:line="360" w:lineRule="exact"/>
        <w:ind w:right="-5" w:firstLine="720"/>
        <w:jc w:val="both"/>
        <w:rPr>
          <w:rFonts w:cs="Times New Roman"/>
          <w:bCs/>
          <w:lang w:val="pl-PL"/>
        </w:rPr>
      </w:pPr>
      <w:r w:rsidRPr="006A73A0">
        <w:rPr>
          <w:rFonts w:cs="Times New Roman"/>
          <w:bCs/>
          <w:lang w:val="pl-PL"/>
        </w:rPr>
        <w:t>1. Bảo đảm tính hợp hiến, hợp pháp và thống nhất, đồng bộ các quy định của Nghị định với các quy định của Bộ luật Hàng hải Việt Nam</w:t>
      </w:r>
      <w:r w:rsidR="00361073" w:rsidRPr="006A73A0">
        <w:rPr>
          <w:rFonts w:cs="Times New Roman"/>
          <w:bCs/>
          <w:lang w:val="pl-PL"/>
        </w:rPr>
        <w:t xml:space="preserve"> </w:t>
      </w:r>
      <w:r w:rsidR="0077382E" w:rsidRPr="006A73A0">
        <w:rPr>
          <w:rFonts w:cs="Times New Roman"/>
          <w:iCs/>
          <w:lang w:val="pl-PL"/>
        </w:rPr>
        <w:t>ngày 08 tháng 12 năm 2015</w:t>
      </w:r>
      <w:r w:rsidR="0077382E" w:rsidRPr="006A73A0">
        <w:rPr>
          <w:rFonts w:cs="Times New Roman"/>
          <w:bCs/>
          <w:lang w:val="pl-PL"/>
        </w:rPr>
        <w:t xml:space="preserve"> </w:t>
      </w:r>
      <w:r w:rsidRPr="006A73A0">
        <w:rPr>
          <w:rFonts w:cs="Times New Roman"/>
          <w:bCs/>
          <w:lang w:val="pl-PL"/>
        </w:rPr>
        <w:t xml:space="preserve">và các luật, pháp lệnh khác có liên quan; phù hợp với thực tiễn </w:t>
      </w:r>
      <w:r w:rsidRPr="006A73A0">
        <w:rPr>
          <w:rFonts w:eastAsia="SimSun" w:cs="Times New Roman"/>
          <w:lang w:val="pl-PL"/>
        </w:rPr>
        <w:t xml:space="preserve">kinh doanh </w:t>
      </w:r>
      <w:r w:rsidRPr="006A73A0">
        <w:rPr>
          <w:rFonts w:eastAsia="SimSun" w:cs="Times New Roman"/>
          <w:lang w:val="pl-PL"/>
        </w:rPr>
        <w:lastRenderedPageBreak/>
        <w:t>dịch vụ vận tải biển và dịch vụ</w:t>
      </w:r>
      <w:r w:rsidR="0077382E" w:rsidRPr="006A73A0">
        <w:rPr>
          <w:rFonts w:eastAsia="SimSun" w:cs="Times New Roman"/>
          <w:lang w:val="pl-PL"/>
        </w:rPr>
        <w:t xml:space="preserve"> cảng</w:t>
      </w:r>
      <w:r w:rsidRPr="006A73A0">
        <w:rPr>
          <w:rFonts w:cs="Times New Roman"/>
          <w:bCs/>
          <w:lang w:val="pl-PL"/>
        </w:rPr>
        <w:t>.</w:t>
      </w:r>
    </w:p>
    <w:p w:rsidR="0077382E" w:rsidRPr="006A73A0" w:rsidRDefault="00565A37" w:rsidP="00E977F9">
      <w:pPr>
        <w:spacing w:before="120" w:after="120" w:line="360" w:lineRule="exact"/>
        <w:ind w:right="-5" w:firstLine="720"/>
        <w:jc w:val="both"/>
        <w:rPr>
          <w:rFonts w:cs="Times New Roman"/>
          <w:bCs/>
          <w:lang w:val="pl-PL"/>
        </w:rPr>
      </w:pPr>
      <w:r w:rsidRPr="006A73A0">
        <w:rPr>
          <w:rFonts w:cs="Times New Roman"/>
          <w:bCs/>
          <w:lang w:val="pl-PL"/>
        </w:rPr>
        <w:t xml:space="preserve">2. </w:t>
      </w:r>
      <w:r w:rsidR="0077382E" w:rsidRPr="006A73A0">
        <w:rPr>
          <w:rFonts w:cs="Times New Roman"/>
          <w:lang w:val="pt-BR"/>
        </w:rPr>
        <w:t>Thực hiện theo cơ chế thị trường, thúc đẩy cạnh tranh lành mạnh, phát huy quyền tự chủ của doanh nghiệp, thúc đẩy hàng hóa xuất nhập khẩu, giảm thiểu sự can thiệp của Nhà nước</w:t>
      </w:r>
      <w:r w:rsidR="00C4611C">
        <w:rPr>
          <w:rFonts w:cs="Times New Roman"/>
          <w:lang w:val="pt-BR"/>
        </w:rPr>
        <w:t>.</w:t>
      </w:r>
      <w:r w:rsidR="0077382E" w:rsidRPr="006A73A0">
        <w:rPr>
          <w:rFonts w:cs="Times New Roman"/>
          <w:bCs/>
          <w:lang w:val="pl-PL"/>
        </w:rPr>
        <w:t xml:space="preserve"> </w:t>
      </w:r>
    </w:p>
    <w:p w:rsidR="00565A37" w:rsidRPr="006A73A0" w:rsidRDefault="00565A37" w:rsidP="00E977F9">
      <w:pPr>
        <w:spacing w:before="120" w:after="120" w:line="360" w:lineRule="exact"/>
        <w:ind w:right="-5" w:firstLine="720"/>
        <w:jc w:val="both"/>
        <w:rPr>
          <w:rFonts w:cs="Times New Roman"/>
          <w:lang w:val="pl-PL"/>
        </w:rPr>
      </w:pPr>
      <w:r w:rsidRPr="006A73A0">
        <w:rPr>
          <w:rFonts w:cs="Times New Roman"/>
          <w:bCs/>
          <w:lang w:val="pl-PL"/>
        </w:rPr>
        <w:t xml:space="preserve">3. </w:t>
      </w:r>
      <w:r w:rsidRPr="006A73A0">
        <w:rPr>
          <w:rFonts w:cs="Times New Roman"/>
          <w:lang w:val="pl-PL"/>
        </w:rPr>
        <w:t>Đáp ứng yêu cầu phát triển, hội nhập của dịch vụ vận tải biển</w:t>
      </w:r>
      <w:r w:rsidR="0077382E" w:rsidRPr="006A73A0">
        <w:rPr>
          <w:rFonts w:cs="Times New Roman"/>
          <w:lang w:val="pl-PL"/>
        </w:rPr>
        <w:t>, thương mại quốc tế</w:t>
      </w:r>
      <w:r w:rsidRPr="006A73A0">
        <w:rPr>
          <w:rFonts w:cs="Times New Roman"/>
          <w:lang w:val="pl-PL"/>
        </w:rPr>
        <w:t xml:space="preserve"> nước ta theo hướng tạo điều kiện thuận lợi </w:t>
      </w:r>
      <w:r w:rsidR="0077382E" w:rsidRPr="006A73A0">
        <w:rPr>
          <w:rFonts w:cs="Times New Roman"/>
          <w:lang w:val="pl-PL"/>
        </w:rPr>
        <w:t>kinh doanh của các doanh nghiệp, phù hợp với thông lệ và pháp luật quốc tế.</w:t>
      </w:r>
    </w:p>
    <w:p w:rsidR="0077382E" w:rsidRPr="006A73A0" w:rsidRDefault="0077382E" w:rsidP="00E977F9">
      <w:pPr>
        <w:spacing w:before="120" w:after="120" w:line="360" w:lineRule="exact"/>
        <w:ind w:right="-5" w:firstLine="720"/>
        <w:jc w:val="both"/>
        <w:rPr>
          <w:rFonts w:cs="Times New Roman"/>
          <w:bCs/>
          <w:lang w:val="pl-PL"/>
        </w:rPr>
      </w:pPr>
      <w:r w:rsidRPr="006A73A0">
        <w:rPr>
          <w:rFonts w:cs="Times New Roman"/>
          <w:lang w:val="pl-PL"/>
        </w:rPr>
        <w:t xml:space="preserve">4. </w:t>
      </w:r>
      <w:r w:rsidRPr="006A73A0">
        <w:rPr>
          <w:rFonts w:cs="Times New Roman"/>
          <w:lang w:val="pt-BR"/>
        </w:rPr>
        <w:t>Bảo đảm quyền, lợi ích hợp pháp của doanh nghiệp vận tải biển, doanh nghiệp cảng, khách hàng sử dụng dịch vụ vận tải biển, dịch vụ bến, cảng.</w:t>
      </w:r>
    </w:p>
    <w:p w:rsidR="00565A37" w:rsidRPr="006A73A0" w:rsidRDefault="0077382E" w:rsidP="00E977F9">
      <w:pPr>
        <w:spacing w:before="120" w:after="120" w:line="360" w:lineRule="exact"/>
        <w:ind w:right="-5" w:firstLine="720"/>
        <w:jc w:val="both"/>
        <w:rPr>
          <w:rFonts w:cs="Times New Roman"/>
          <w:b/>
          <w:lang w:val="pt-BR"/>
        </w:rPr>
      </w:pPr>
      <w:r w:rsidRPr="006A73A0">
        <w:rPr>
          <w:rFonts w:cs="Times New Roman"/>
          <w:bCs/>
          <w:lang w:val="pl-PL"/>
        </w:rPr>
        <w:t>5</w:t>
      </w:r>
      <w:r w:rsidR="00565A37" w:rsidRPr="006A73A0">
        <w:rPr>
          <w:rFonts w:cs="Times New Roman"/>
          <w:bCs/>
          <w:lang w:val="pl-PL"/>
        </w:rPr>
        <w:t xml:space="preserve">. </w:t>
      </w:r>
      <w:r w:rsidR="00565A37" w:rsidRPr="006A73A0">
        <w:rPr>
          <w:rFonts w:cs="Times New Roman"/>
          <w:lang w:val="pt-BR"/>
        </w:rPr>
        <w:t>Vận dụng quy định của các điều ước quốc tế liên quan phù hợp với nguyên tắc điều chỉnh của pháp luật Việt Nam.</w:t>
      </w:r>
      <w:r w:rsidR="00565A37" w:rsidRPr="006A73A0">
        <w:rPr>
          <w:rFonts w:cs="Times New Roman"/>
          <w:b/>
          <w:lang w:val="pt-BR"/>
        </w:rPr>
        <w:t xml:space="preserve"> </w:t>
      </w:r>
    </w:p>
    <w:p w:rsidR="00565A37" w:rsidRPr="006A73A0" w:rsidRDefault="00565A37" w:rsidP="00E977F9">
      <w:pPr>
        <w:spacing w:before="120" w:after="120" w:line="360" w:lineRule="exact"/>
        <w:jc w:val="both"/>
        <w:rPr>
          <w:rFonts w:cs="Times New Roman"/>
          <w:b/>
          <w:bCs/>
          <w:lang w:val="pl-PL"/>
        </w:rPr>
      </w:pPr>
      <w:r w:rsidRPr="006A73A0">
        <w:rPr>
          <w:rFonts w:cs="Times New Roman"/>
          <w:b/>
          <w:bCs/>
          <w:lang w:val="pl-PL"/>
        </w:rPr>
        <w:tab/>
        <w:t>III. Quá trình soạn thảo Nghị định</w:t>
      </w:r>
    </w:p>
    <w:p w:rsidR="00565A37" w:rsidRPr="006A73A0" w:rsidRDefault="00565A37" w:rsidP="00E977F9">
      <w:pPr>
        <w:spacing w:before="120" w:after="120" w:line="360" w:lineRule="exact"/>
        <w:ind w:right="-6" w:firstLine="720"/>
        <w:jc w:val="both"/>
        <w:rPr>
          <w:rFonts w:cs="Times New Roman"/>
          <w:lang w:val="nl-NL"/>
        </w:rPr>
      </w:pPr>
      <w:r w:rsidRPr="006A73A0">
        <w:rPr>
          <w:rFonts w:cs="Times New Roman"/>
          <w:lang w:val="nl-NL"/>
        </w:rPr>
        <w:t>Để xây dựng dự thảo Nghị định, Bộ Giao thông vận tải đã tiến hành các công việc sau:</w:t>
      </w:r>
    </w:p>
    <w:p w:rsidR="00135DA1" w:rsidRPr="006A73A0" w:rsidRDefault="00D654E2" w:rsidP="00E977F9">
      <w:pPr>
        <w:spacing w:before="120" w:after="120" w:line="360" w:lineRule="exact"/>
        <w:ind w:firstLine="720"/>
        <w:jc w:val="both"/>
        <w:rPr>
          <w:rFonts w:cs="Times New Roman"/>
          <w:color w:val="auto"/>
        </w:rPr>
      </w:pPr>
      <w:r w:rsidRPr="006A73A0">
        <w:rPr>
          <w:rFonts w:cs="Times New Roman"/>
          <w:lang w:val="pt-BR"/>
        </w:rPr>
        <w:t xml:space="preserve">1. </w:t>
      </w:r>
      <w:r w:rsidR="00135DA1" w:rsidRPr="006A73A0">
        <w:rPr>
          <w:rFonts w:cs="Times New Roman"/>
          <w:lang w:val="pt-BR"/>
        </w:rPr>
        <w:t xml:space="preserve">Kế thừa nội dung, chỉ đạo trong việc xây dựng </w:t>
      </w:r>
      <w:r w:rsidR="00135DA1" w:rsidRPr="006A73A0">
        <w:rPr>
          <w:rFonts w:cs="Times New Roman"/>
          <w:color w:val="auto"/>
        </w:rPr>
        <w:t>Quyết định của Thủ tướng Chính phủ về việc công bố biểu cước vận tải biển, biểu giá dịch vụ cảng để xây dựng Dự thảo Nghị định.</w:t>
      </w:r>
    </w:p>
    <w:p w:rsidR="00D654E2" w:rsidRPr="006A73A0" w:rsidRDefault="003212DA" w:rsidP="00E977F9">
      <w:pPr>
        <w:spacing w:before="120" w:after="120" w:line="360" w:lineRule="exact"/>
        <w:ind w:firstLine="720"/>
        <w:jc w:val="both"/>
        <w:rPr>
          <w:rFonts w:cs="Times New Roman"/>
          <w:lang w:val="pt-BR"/>
        </w:rPr>
      </w:pPr>
      <w:r w:rsidRPr="006A73A0">
        <w:rPr>
          <w:rFonts w:cs="Times New Roman"/>
          <w:lang w:val="pt-BR"/>
        </w:rPr>
        <w:t xml:space="preserve">2. </w:t>
      </w:r>
      <w:r w:rsidR="00D654E2" w:rsidRPr="006A73A0">
        <w:rPr>
          <w:rFonts w:cs="Times New Roman"/>
          <w:lang w:val="pt-BR"/>
        </w:rPr>
        <w:t xml:space="preserve">Phối hợp với các Bộ: </w:t>
      </w:r>
      <w:r w:rsidR="00AA52B8" w:rsidRPr="006A73A0">
        <w:rPr>
          <w:rFonts w:cs="Times New Roman"/>
          <w:lang w:val="pt-BR"/>
        </w:rPr>
        <w:t xml:space="preserve">Tư pháp, </w:t>
      </w:r>
      <w:r w:rsidR="00D654E2" w:rsidRPr="006A73A0">
        <w:rPr>
          <w:rFonts w:cs="Times New Roman"/>
          <w:lang w:val="pt-BR"/>
        </w:rPr>
        <w:t xml:space="preserve">Tài chính, Công Thương; Phòng Thương mại và Công nghiệp Việt Nam; các hiệp hội ngành hàng, hiệp hội vận tải và các cơ quan đơn vị liên quan </w:t>
      </w:r>
      <w:r w:rsidR="00AA52B8" w:rsidRPr="006A73A0">
        <w:rPr>
          <w:rFonts w:cs="Times New Roman"/>
          <w:lang w:val="pt-BR"/>
        </w:rPr>
        <w:t>hoàn thiện Dự thảo Nghị định</w:t>
      </w:r>
      <w:r w:rsidR="00D654E2" w:rsidRPr="006A73A0">
        <w:rPr>
          <w:rFonts w:cs="Times New Roman"/>
          <w:lang w:val="pt-BR"/>
        </w:rPr>
        <w:t>.</w:t>
      </w:r>
    </w:p>
    <w:p w:rsidR="00D654E2" w:rsidRPr="006A73A0" w:rsidRDefault="00D654E2" w:rsidP="00E977F9">
      <w:pPr>
        <w:spacing w:before="120" w:after="120" w:line="360" w:lineRule="exact"/>
        <w:ind w:firstLine="720"/>
        <w:jc w:val="both"/>
        <w:rPr>
          <w:rFonts w:cs="Times New Roman"/>
          <w:lang w:val="nl-NL"/>
        </w:rPr>
      </w:pPr>
      <w:r w:rsidRPr="006A73A0">
        <w:rPr>
          <w:rFonts w:cs="Times New Roman"/>
          <w:lang w:val="pt-BR"/>
        </w:rPr>
        <w:t xml:space="preserve">3. </w:t>
      </w:r>
      <w:r w:rsidRPr="006A73A0">
        <w:rPr>
          <w:rFonts w:cs="Times New Roman"/>
          <w:lang w:val="nl-NL"/>
        </w:rPr>
        <w:t>Ngày ... tháng... năm 201.., đã đ</w:t>
      </w:r>
      <w:r w:rsidR="00AA52B8" w:rsidRPr="006A73A0">
        <w:rPr>
          <w:rFonts w:cs="Times New Roman"/>
          <w:lang w:val="nl-NL"/>
        </w:rPr>
        <w:t>ăng tải toàn bộ nội dung D</w:t>
      </w:r>
      <w:r w:rsidRPr="006A73A0">
        <w:rPr>
          <w:rFonts w:cs="Times New Roman"/>
          <w:lang w:val="nl-NL"/>
        </w:rPr>
        <w:t xml:space="preserve">ự thảo Nghị định </w:t>
      </w:r>
      <w:r w:rsidRPr="006A73A0">
        <w:rPr>
          <w:rFonts w:cs="Times New Roman"/>
          <w:szCs w:val="26"/>
          <w:lang w:val="vi-VN"/>
        </w:rPr>
        <w:t>quy định việc niêm yết giá, phụ phu ngoài giá dịch vụ vận chuyển bằng đường biển và giá dịch vụ cảng</w:t>
      </w:r>
      <w:r w:rsidRPr="006A73A0">
        <w:rPr>
          <w:rFonts w:cs="Times New Roman"/>
          <w:lang w:val="pt-BR"/>
        </w:rPr>
        <w:t xml:space="preserve"> lên trang Thông tin điện tử của</w:t>
      </w:r>
      <w:r w:rsidRPr="006A73A0">
        <w:rPr>
          <w:rFonts w:cs="Times New Roman"/>
          <w:b/>
          <w:lang w:val="pt-BR"/>
        </w:rPr>
        <w:t xml:space="preserve"> </w:t>
      </w:r>
      <w:r w:rsidRPr="006A73A0">
        <w:rPr>
          <w:rFonts w:cs="Times New Roman"/>
          <w:lang w:val="nl-NL"/>
        </w:rPr>
        <w:t>Bộ Giao thông vận tải để lấy ý kiến góp ý của các tổ chức,</w:t>
      </w:r>
      <w:r w:rsidR="00AA52B8" w:rsidRPr="006A73A0">
        <w:rPr>
          <w:rFonts w:cs="Times New Roman"/>
          <w:lang w:val="nl-NL"/>
        </w:rPr>
        <w:t xml:space="preserve"> cá nhân</w:t>
      </w:r>
      <w:r w:rsidRPr="006A73A0">
        <w:rPr>
          <w:rFonts w:cs="Times New Roman"/>
          <w:lang w:val="nl-NL"/>
        </w:rPr>
        <w:t>.</w:t>
      </w:r>
    </w:p>
    <w:p w:rsidR="00D654E2" w:rsidRPr="006A73A0" w:rsidRDefault="00D654E2" w:rsidP="00E977F9">
      <w:pPr>
        <w:spacing w:before="120" w:after="120" w:line="360" w:lineRule="exact"/>
        <w:ind w:firstLine="720"/>
        <w:jc w:val="both"/>
        <w:rPr>
          <w:rFonts w:cs="Times New Roman"/>
          <w:lang w:val="nl-NL"/>
        </w:rPr>
      </w:pPr>
      <w:r w:rsidRPr="006A73A0">
        <w:rPr>
          <w:rFonts w:cs="Times New Roman"/>
          <w:lang w:val="pt-BR"/>
        </w:rPr>
        <w:t xml:space="preserve">4. </w:t>
      </w:r>
      <w:r w:rsidRPr="006A73A0">
        <w:rPr>
          <w:rFonts w:cs="Times New Roman"/>
          <w:lang w:val="nl-NL"/>
        </w:rPr>
        <w:t xml:space="preserve">Ngày .... tháng .... năm 201..., Bộ Giao thông vận tải có văn bản số ......../BGTVT-VT gửi các Bộ, ngành, địa phương và các cơ quan đơn vị liên quan tham gia ý kiến cho Dự thảo Nghị định và đã nhận được ý kiến của ..... cơ quan, đơn vị. Bộ Giao thông vận tải đã nghiên cứu tiếp thu, giải trình các ý kiến đóng góp của các Bộ, ngành, địa phương và các cơ quan, đơn vị liên quan. </w:t>
      </w:r>
    </w:p>
    <w:p w:rsidR="00565A37" w:rsidRPr="006A73A0" w:rsidRDefault="00D654E2" w:rsidP="00E977F9">
      <w:pPr>
        <w:spacing w:before="120" w:after="120" w:line="360" w:lineRule="exact"/>
        <w:ind w:right="-6" w:firstLine="720"/>
        <w:jc w:val="both"/>
        <w:rPr>
          <w:rFonts w:cs="Times New Roman"/>
          <w:lang w:val="nl-NL"/>
        </w:rPr>
      </w:pPr>
      <w:r w:rsidRPr="006A73A0">
        <w:rPr>
          <w:rFonts w:cs="Times New Roman"/>
          <w:lang w:val="nl-NL"/>
        </w:rPr>
        <w:t>6</w:t>
      </w:r>
      <w:r w:rsidR="0077382E" w:rsidRPr="006A73A0">
        <w:rPr>
          <w:rFonts w:cs="Times New Roman"/>
          <w:lang w:val="nl-NL"/>
        </w:rPr>
        <w:t>. Ngày ....</w:t>
      </w:r>
      <w:r w:rsidR="00565A37" w:rsidRPr="006A73A0">
        <w:rPr>
          <w:rFonts w:cs="Times New Roman"/>
          <w:lang w:val="nl-NL"/>
        </w:rPr>
        <w:t xml:space="preserve"> tháng</w:t>
      </w:r>
      <w:r w:rsidR="0077382E" w:rsidRPr="006A73A0">
        <w:rPr>
          <w:rFonts w:cs="Times New Roman"/>
          <w:lang w:val="nl-NL"/>
        </w:rPr>
        <w:t xml:space="preserve"> .... năm 201...</w:t>
      </w:r>
      <w:r w:rsidR="00565A37" w:rsidRPr="006A73A0">
        <w:rPr>
          <w:rFonts w:cs="Times New Roman"/>
          <w:lang w:val="nl-NL"/>
        </w:rPr>
        <w:t xml:space="preserve">, Bộ Tư pháp có văn bản thẩm định số </w:t>
      </w:r>
      <w:r w:rsidR="0077382E" w:rsidRPr="006A73A0">
        <w:rPr>
          <w:rFonts w:cs="Times New Roman"/>
          <w:lang w:val="nl-NL"/>
        </w:rPr>
        <w:t>.....</w:t>
      </w:r>
      <w:r w:rsidR="00565A37" w:rsidRPr="006A73A0">
        <w:rPr>
          <w:rFonts w:cs="Times New Roman"/>
          <w:lang w:val="nl-NL"/>
        </w:rPr>
        <w:t>/BTP-PLDSKT. Bộ Giao thông vận tải đã tiếp thu ý kiến thẩm định và chỉnh sửa, hoàn thiện dự thảo Nghị định trình Chính phủ.</w:t>
      </w:r>
    </w:p>
    <w:p w:rsidR="00565A37" w:rsidRPr="006A73A0" w:rsidRDefault="00565A37" w:rsidP="00E977F9">
      <w:pPr>
        <w:spacing w:before="120" w:after="120" w:line="360" w:lineRule="exact"/>
        <w:ind w:right="-6" w:firstLine="720"/>
        <w:jc w:val="both"/>
        <w:rPr>
          <w:rFonts w:cs="Times New Roman"/>
          <w:b/>
          <w:bCs/>
          <w:lang w:val="nl-NL"/>
        </w:rPr>
      </w:pPr>
      <w:r w:rsidRPr="006A73A0">
        <w:rPr>
          <w:rFonts w:cs="Times New Roman"/>
          <w:b/>
          <w:bCs/>
          <w:lang w:val="nl-NL"/>
        </w:rPr>
        <w:t xml:space="preserve">IV. Bố cục và nội dung cơ bản của Dự thảo Nghị định  </w:t>
      </w:r>
    </w:p>
    <w:p w:rsidR="00565A37" w:rsidRPr="006A73A0" w:rsidRDefault="00565A37" w:rsidP="00E977F9">
      <w:pPr>
        <w:spacing w:before="120" w:after="120" w:line="360" w:lineRule="exact"/>
        <w:ind w:right="-6" w:firstLine="720"/>
        <w:jc w:val="both"/>
        <w:rPr>
          <w:rFonts w:cs="Times New Roman"/>
          <w:lang w:val="nl-NL"/>
        </w:rPr>
      </w:pPr>
      <w:r w:rsidRPr="006A73A0">
        <w:rPr>
          <w:rFonts w:cs="Times New Roman"/>
          <w:lang w:val="nl-NL"/>
        </w:rPr>
        <w:t xml:space="preserve">Dự thảo Nghị định gồm </w:t>
      </w:r>
      <w:r w:rsidR="00D654E2" w:rsidRPr="006A73A0">
        <w:rPr>
          <w:rFonts w:cs="Times New Roman"/>
          <w:lang w:val="nl-NL"/>
        </w:rPr>
        <w:t>4</w:t>
      </w:r>
      <w:r w:rsidRPr="006A73A0">
        <w:rPr>
          <w:rFonts w:cs="Times New Roman"/>
          <w:lang w:val="nl-NL"/>
        </w:rPr>
        <w:t xml:space="preserve"> Chương, </w:t>
      </w:r>
      <w:r w:rsidR="00D654E2" w:rsidRPr="006A73A0">
        <w:rPr>
          <w:rFonts w:cs="Times New Roman"/>
          <w:lang w:val="nl-NL"/>
        </w:rPr>
        <w:t>1</w:t>
      </w:r>
      <w:r w:rsidRPr="006A73A0">
        <w:rPr>
          <w:rFonts w:cs="Times New Roman"/>
          <w:lang w:val="nl-NL"/>
        </w:rPr>
        <w:t>2 Điều và 0</w:t>
      </w:r>
      <w:r w:rsidR="00D654E2" w:rsidRPr="006A73A0">
        <w:rPr>
          <w:rFonts w:cs="Times New Roman"/>
          <w:lang w:val="nl-NL"/>
        </w:rPr>
        <w:t>1</w:t>
      </w:r>
      <w:r w:rsidRPr="006A73A0">
        <w:rPr>
          <w:rFonts w:cs="Times New Roman"/>
          <w:lang w:val="nl-NL"/>
        </w:rPr>
        <w:t xml:space="preserve"> Phụ lục, cụ thể như sau:</w:t>
      </w:r>
    </w:p>
    <w:p w:rsidR="00565A37" w:rsidRPr="006A73A0" w:rsidRDefault="00565A37" w:rsidP="00E977F9">
      <w:pPr>
        <w:spacing w:before="120" w:after="120" w:line="360" w:lineRule="exact"/>
        <w:ind w:right="-6" w:firstLine="720"/>
        <w:jc w:val="both"/>
        <w:rPr>
          <w:rFonts w:cs="Times New Roman"/>
          <w:lang w:val="nl-NL"/>
        </w:rPr>
      </w:pPr>
      <w:r w:rsidRPr="006A73A0">
        <w:rPr>
          <w:rFonts w:cs="Times New Roman"/>
          <w:lang w:val="nl-NL"/>
        </w:rPr>
        <w:t xml:space="preserve">1. </w:t>
      </w:r>
      <w:r w:rsidR="00D654E2" w:rsidRPr="006A73A0">
        <w:rPr>
          <w:rFonts w:cs="Times New Roman"/>
          <w:lang w:val="nl-NL"/>
        </w:rPr>
        <w:t>Chương I</w:t>
      </w:r>
      <w:r w:rsidRPr="006A73A0">
        <w:rPr>
          <w:rFonts w:cs="Times New Roman"/>
          <w:lang w:val="nl-NL"/>
        </w:rPr>
        <w:t xml:space="preserve">. Quy định chung. </w:t>
      </w:r>
    </w:p>
    <w:p w:rsidR="00565A37" w:rsidRPr="006A73A0" w:rsidRDefault="00565A37" w:rsidP="00E977F9">
      <w:pPr>
        <w:spacing w:before="120" w:after="120" w:line="360" w:lineRule="exact"/>
        <w:ind w:firstLine="720"/>
        <w:jc w:val="both"/>
        <w:rPr>
          <w:rFonts w:cs="Times New Roman"/>
          <w:lang w:val="nl-NL"/>
        </w:rPr>
      </w:pPr>
      <w:r w:rsidRPr="006A73A0">
        <w:rPr>
          <w:rFonts w:cs="Times New Roman"/>
          <w:lang w:val="nl-NL"/>
        </w:rPr>
        <w:t>Chương này quy định cụ thể phạm vi điều chỉnh, đối tượng áp dụng</w:t>
      </w:r>
      <w:r w:rsidR="00D654E2" w:rsidRPr="006A73A0">
        <w:rPr>
          <w:rFonts w:cs="Times New Roman"/>
          <w:lang w:val="nl-NL"/>
        </w:rPr>
        <w:t xml:space="preserve">, nguyên </w:t>
      </w:r>
      <w:r w:rsidR="00D654E2" w:rsidRPr="006A73A0">
        <w:rPr>
          <w:rFonts w:cs="Times New Roman"/>
          <w:lang w:val="nl-NL"/>
        </w:rPr>
        <w:lastRenderedPageBreak/>
        <w:t>tắc niêm yết giá, phụ thu ngoài giá dịch vụ vận chuyển bằng đường biển và giá dịch vụ cảng, đồng tiền niêm yết</w:t>
      </w:r>
      <w:r w:rsidRPr="006A73A0">
        <w:rPr>
          <w:rFonts w:cs="Times New Roman"/>
          <w:lang w:val="nl-NL"/>
        </w:rPr>
        <w:t xml:space="preserve"> và giải thích các từ ngữ liên quan, mang tính chất chuyên ngành.</w:t>
      </w:r>
    </w:p>
    <w:p w:rsidR="00565A37" w:rsidRPr="006A73A0" w:rsidRDefault="00565A37" w:rsidP="00E977F9">
      <w:pPr>
        <w:spacing w:before="120" w:after="120" w:line="360" w:lineRule="exact"/>
        <w:ind w:right="-6" w:firstLine="720"/>
        <w:jc w:val="both"/>
        <w:rPr>
          <w:rFonts w:cs="Times New Roman"/>
          <w:lang w:val="nl-NL"/>
        </w:rPr>
      </w:pPr>
      <w:r w:rsidRPr="006A73A0">
        <w:rPr>
          <w:rFonts w:cs="Times New Roman"/>
          <w:lang w:val="nl-NL"/>
        </w:rPr>
        <w:t xml:space="preserve">2. </w:t>
      </w:r>
      <w:r w:rsidR="00D654E2" w:rsidRPr="006A73A0">
        <w:rPr>
          <w:rFonts w:cs="Times New Roman"/>
          <w:lang w:val="nl-NL"/>
        </w:rPr>
        <w:t>Chương II</w:t>
      </w:r>
      <w:r w:rsidRPr="006A73A0">
        <w:rPr>
          <w:rFonts w:cs="Times New Roman"/>
          <w:lang w:val="nl-NL"/>
        </w:rPr>
        <w:t xml:space="preserve">. </w:t>
      </w:r>
      <w:r w:rsidR="00D654E2" w:rsidRPr="006A73A0">
        <w:rPr>
          <w:rFonts w:cs="Times New Roman"/>
          <w:lang w:val="nl-NL"/>
        </w:rPr>
        <w:t>Trách nhiệm, nội dung niêm yết và ngày hiệu lực</w:t>
      </w:r>
      <w:r w:rsidRPr="006A73A0">
        <w:rPr>
          <w:rFonts w:eastAsia="SimSun" w:cs="Times New Roman"/>
          <w:lang w:val="pl-PL"/>
        </w:rPr>
        <w:t>.</w:t>
      </w:r>
    </w:p>
    <w:p w:rsidR="006A2F05" w:rsidRPr="006A73A0" w:rsidRDefault="00565A37" w:rsidP="00E977F9">
      <w:pPr>
        <w:spacing w:before="120" w:after="120" w:line="360" w:lineRule="exact"/>
        <w:ind w:right="-6" w:firstLine="720"/>
        <w:jc w:val="both"/>
        <w:rPr>
          <w:rFonts w:cs="Times New Roman"/>
          <w:lang w:val="nl-NL"/>
        </w:rPr>
      </w:pPr>
      <w:r w:rsidRPr="006A73A0">
        <w:rPr>
          <w:rFonts w:cs="Times New Roman"/>
          <w:lang w:val="nl-NL"/>
        </w:rPr>
        <w:t xml:space="preserve">Chương này quy định chi tiết </w:t>
      </w:r>
      <w:r w:rsidR="00D654E2" w:rsidRPr="006A73A0">
        <w:rPr>
          <w:rFonts w:cs="Times New Roman"/>
          <w:lang w:val="nl-NL"/>
        </w:rPr>
        <w:t>về trách nhiệm</w:t>
      </w:r>
      <w:r w:rsidR="006A2F05" w:rsidRPr="006A73A0">
        <w:rPr>
          <w:rFonts w:cs="Times New Roman"/>
          <w:lang w:val="nl-NL"/>
        </w:rPr>
        <w:t xml:space="preserve"> niêm yết của các doanh nghiệp liên quan thuộc đối tượng áp dụng của Nghị định, nội dung niêm yết giá, phụ thu ngoài giá dịch vụ vận chuyển bằng đường biển và ngày hiệu lực của niêm yết.</w:t>
      </w:r>
      <w:r w:rsidRPr="006A73A0">
        <w:rPr>
          <w:rFonts w:cs="Times New Roman"/>
          <w:lang w:val="nl-NL"/>
        </w:rPr>
        <w:t xml:space="preserve"> </w:t>
      </w:r>
    </w:p>
    <w:p w:rsidR="006A2F05" w:rsidRPr="006A73A0" w:rsidRDefault="00565A37" w:rsidP="00E977F9">
      <w:pPr>
        <w:spacing w:before="120" w:after="120" w:line="360" w:lineRule="exact"/>
        <w:ind w:right="-6" w:firstLine="720"/>
        <w:jc w:val="both"/>
        <w:rPr>
          <w:rFonts w:cs="Times New Roman"/>
          <w:lang w:val="nl-NL"/>
        </w:rPr>
      </w:pPr>
      <w:r w:rsidRPr="006A73A0">
        <w:rPr>
          <w:rFonts w:cs="Times New Roman"/>
          <w:lang w:val="nl-NL"/>
        </w:rPr>
        <w:t xml:space="preserve">3. </w:t>
      </w:r>
      <w:r w:rsidR="006A2F05" w:rsidRPr="006A73A0">
        <w:rPr>
          <w:rFonts w:cs="Times New Roman"/>
          <w:lang w:val="nl-NL"/>
        </w:rPr>
        <w:t>Chương III</w:t>
      </w:r>
      <w:r w:rsidRPr="006A73A0">
        <w:rPr>
          <w:rFonts w:cs="Times New Roman"/>
          <w:lang w:val="nl-NL"/>
        </w:rPr>
        <w:t>.</w:t>
      </w:r>
      <w:r w:rsidR="006A2F05" w:rsidRPr="006A73A0">
        <w:rPr>
          <w:rFonts w:cs="Times New Roman"/>
          <w:lang w:val="nl-NL"/>
        </w:rPr>
        <w:t xml:space="preserve"> Danh mục giá, phụ thu ngoài giá vận chuyển bằng đường biển.</w:t>
      </w:r>
      <w:r w:rsidRPr="006A73A0">
        <w:rPr>
          <w:rFonts w:cs="Times New Roman"/>
          <w:lang w:val="nl-NL"/>
        </w:rPr>
        <w:t xml:space="preserve"> </w:t>
      </w:r>
    </w:p>
    <w:p w:rsidR="00565A37" w:rsidRPr="006A73A0" w:rsidRDefault="00565A37" w:rsidP="00E977F9">
      <w:pPr>
        <w:spacing w:before="120" w:after="120" w:line="360" w:lineRule="exact"/>
        <w:ind w:right="-6" w:firstLine="720"/>
        <w:jc w:val="both"/>
        <w:rPr>
          <w:rFonts w:cs="Times New Roman"/>
          <w:lang w:val="nl-NL"/>
        </w:rPr>
      </w:pPr>
      <w:r w:rsidRPr="006A73A0">
        <w:rPr>
          <w:rFonts w:cs="Times New Roman"/>
          <w:lang w:val="nl-NL"/>
        </w:rPr>
        <w:t xml:space="preserve">Chương này quy định chi tiết </w:t>
      </w:r>
      <w:r w:rsidR="006A2F05" w:rsidRPr="006A73A0">
        <w:rPr>
          <w:rFonts w:cs="Times New Roman"/>
          <w:lang w:val="nl-NL"/>
        </w:rPr>
        <w:t>danh mục giá, phụ thu ngoài giá vận chuyển bằng đường biển và danh mục các loại giá khác đối với các dịch vụ liên quan phát sinh</w:t>
      </w:r>
      <w:r w:rsidRPr="006A73A0">
        <w:rPr>
          <w:rFonts w:cs="Times New Roman"/>
          <w:lang w:val="pt-BR"/>
        </w:rPr>
        <w:t>.</w:t>
      </w:r>
    </w:p>
    <w:p w:rsidR="00565A37" w:rsidRPr="006A73A0" w:rsidRDefault="006A2F05" w:rsidP="00E977F9">
      <w:pPr>
        <w:spacing w:before="120" w:after="120" w:line="360" w:lineRule="exact"/>
        <w:ind w:right="-6" w:firstLine="720"/>
        <w:jc w:val="both"/>
        <w:rPr>
          <w:rFonts w:cs="Times New Roman"/>
          <w:lang w:val="nl-NL"/>
        </w:rPr>
      </w:pPr>
      <w:r w:rsidRPr="006A73A0">
        <w:rPr>
          <w:rFonts w:cs="Times New Roman"/>
          <w:lang w:val="nl-NL"/>
        </w:rPr>
        <w:t>4</w:t>
      </w:r>
      <w:r w:rsidR="00565A37" w:rsidRPr="006A73A0">
        <w:rPr>
          <w:rFonts w:cs="Times New Roman"/>
          <w:lang w:val="nl-NL"/>
        </w:rPr>
        <w:t xml:space="preserve">. Chương </w:t>
      </w:r>
      <w:r w:rsidR="00C17E19" w:rsidRPr="006A73A0">
        <w:rPr>
          <w:rFonts w:cs="Times New Roman"/>
          <w:lang w:val="nl-NL"/>
        </w:rPr>
        <w:t>IV</w:t>
      </w:r>
      <w:r w:rsidR="00565A37" w:rsidRPr="006A73A0">
        <w:rPr>
          <w:rFonts w:cs="Times New Roman"/>
          <w:lang w:val="nl-NL"/>
        </w:rPr>
        <w:t xml:space="preserve">. Điều khoản thi hành. </w:t>
      </w:r>
    </w:p>
    <w:p w:rsidR="00565A37" w:rsidRPr="006A73A0" w:rsidRDefault="00565A37" w:rsidP="00E977F9">
      <w:pPr>
        <w:spacing w:before="120" w:after="120" w:line="360" w:lineRule="exact"/>
        <w:ind w:right="-6" w:firstLine="720"/>
        <w:jc w:val="both"/>
        <w:rPr>
          <w:rFonts w:cs="Times New Roman"/>
          <w:lang w:val="nl-NL"/>
        </w:rPr>
      </w:pPr>
      <w:r w:rsidRPr="006A73A0">
        <w:rPr>
          <w:rFonts w:cs="Times New Roman"/>
          <w:lang w:val="nl-NL"/>
        </w:rPr>
        <w:t xml:space="preserve">Chương này quy định </w:t>
      </w:r>
      <w:r w:rsidR="006A2F05" w:rsidRPr="006A73A0">
        <w:rPr>
          <w:rFonts w:cs="Times New Roman"/>
          <w:lang w:val="nl-NL"/>
        </w:rPr>
        <w:t xml:space="preserve">chi tiết </w:t>
      </w:r>
      <w:r w:rsidRPr="006A73A0">
        <w:rPr>
          <w:rFonts w:cs="Times New Roman"/>
          <w:lang w:val="nl-NL"/>
        </w:rPr>
        <w:t xml:space="preserve">về hiệu lực thi hành, trách nhiệm </w:t>
      </w:r>
      <w:r w:rsidR="006A2F05" w:rsidRPr="006A73A0">
        <w:rPr>
          <w:rFonts w:cs="Times New Roman"/>
          <w:lang w:val="nl-NL"/>
        </w:rPr>
        <w:t>của các Bộ, ngành</w:t>
      </w:r>
      <w:r w:rsidRPr="006A73A0">
        <w:rPr>
          <w:rFonts w:cs="Times New Roman"/>
          <w:lang w:val="nl-NL"/>
        </w:rPr>
        <w:t xml:space="preserve"> thực hiện Nghị định này.</w:t>
      </w:r>
    </w:p>
    <w:p w:rsidR="00565A37" w:rsidRPr="006A73A0" w:rsidRDefault="00565A37" w:rsidP="00E977F9">
      <w:pPr>
        <w:spacing w:before="120" w:after="120" w:line="360" w:lineRule="exact"/>
        <w:ind w:right="-6" w:firstLine="720"/>
        <w:jc w:val="both"/>
        <w:rPr>
          <w:rFonts w:cs="Times New Roman"/>
          <w:lang w:val="nl-NL"/>
        </w:rPr>
      </w:pPr>
      <w:r w:rsidRPr="006A73A0">
        <w:rPr>
          <w:rFonts w:cs="Times New Roman"/>
          <w:lang w:val="nl-NL"/>
        </w:rPr>
        <w:t>Phụ lục</w:t>
      </w:r>
      <w:r w:rsidR="00D563C9" w:rsidRPr="006A73A0">
        <w:rPr>
          <w:rFonts w:cs="Times New Roman"/>
          <w:lang w:val="nl-NL"/>
        </w:rPr>
        <w:t xml:space="preserve"> ban hành kèm theo Dự thảo Nghị định:</w:t>
      </w:r>
      <w:r w:rsidRPr="006A73A0">
        <w:rPr>
          <w:rFonts w:cs="Times New Roman"/>
          <w:lang w:val="nl-NL"/>
        </w:rPr>
        <w:t xml:space="preserve"> Mẫu đơn </w:t>
      </w:r>
      <w:r w:rsidR="006A2F05" w:rsidRPr="006A73A0">
        <w:rPr>
          <w:rFonts w:cs="Times New Roman"/>
          <w:lang w:val="nl-NL"/>
        </w:rPr>
        <w:t>thông báo đường dẫn để truy cập trang thông tin của doanh nghiệp</w:t>
      </w:r>
    </w:p>
    <w:p w:rsidR="00565A37" w:rsidRPr="006A73A0" w:rsidRDefault="00565A37" w:rsidP="00E977F9">
      <w:pPr>
        <w:spacing w:before="120" w:after="120" w:line="360" w:lineRule="exact"/>
        <w:jc w:val="both"/>
        <w:rPr>
          <w:rFonts w:eastAsia="SimSun" w:cs="Times New Roman"/>
          <w:lang w:val="pl-PL"/>
        </w:rPr>
      </w:pPr>
      <w:r w:rsidRPr="006A73A0">
        <w:rPr>
          <w:rFonts w:cs="Times New Roman"/>
          <w:lang w:val="nl-NL"/>
        </w:rPr>
        <w:tab/>
        <w:t xml:space="preserve">Trên đây là báo cáo của Bộ Giao thông vận tải về dự thảo Nghị định </w:t>
      </w:r>
      <w:r w:rsidR="00C17E19" w:rsidRPr="006A73A0">
        <w:rPr>
          <w:rFonts w:cs="Times New Roman"/>
          <w:lang w:val="nl-NL"/>
        </w:rPr>
        <w:t>Quy định việc niêm yết giá, phụ thu ngoài giá dịch vụ vận chuyển bằng đường biển và giá dịch vụ cảng</w:t>
      </w:r>
      <w:r w:rsidRPr="006A73A0">
        <w:rPr>
          <w:rFonts w:eastAsia="SimSun" w:cs="Times New Roman"/>
          <w:lang w:val="pl-PL"/>
        </w:rPr>
        <w:t>.</w:t>
      </w:r>
    </w:p>
    <w:p w:rsidR="00565A37" w:rsidRPr="006A73A0" w:rsidRDefault="00565A37" w:rsidP="00E977F9">
      <w:pPr>
        <w:spacing w:before="120" w:after="120" w:line="360" w:lineRule="exact"/>
        <w:ind w:right="-5" w:firstLine="720"/>
        <w:jc w:val="both"/>
        <w:rPr>
          <w:rFonts w:cs="Times New Roman"/>
          <w:lang w:val="nl-NL"/>
        </w:rPr>
      </w:pPr>
      <w:r w:rsidRPr="006A73A0">
        <w:rPr>
          <w:rFonts w:cs="Times New Roman"/>
          <w:lang w:val="nl-NL"/>
        </w:rPr>
        <w:t xml:space="preserve"> Bộ Giao thông vận tải kính trình Chính phủ xem xét, quyết định./.</w:t>
      </w:r>
    </w:p>
    <w:p w:rsidR="00565A37" w:rsidRPr="006A73A0" w:rsidRDefault="00565A37" w:rsidP="00E977F9">
      <w:pPr>
        <w:spacing w:before="120" w:after="120" w:line="360" w:lineRule="exact"/>
        <w:ind w:right="-5" w:firstLine="720"/>
        <w:jc w:val="both"/>
        <w:rPr>
          <w:rFonts w:cs="Times New Roman"/>
          <w:lang w:val="nl-NL"/>
        </w:rPr>
      </w:pPr>
      <w:r w:rsidRPr="006A73A0">
        <w:rPr>
          <w:rFonts w:cs="Times New Roman"/>
          <w:i/>
          <w:lang w:val="nl-NL"/>
        </w:rPr>
        <w:t>Bộ Giao thông vận tải xin gửi kèm theo Tờ trình</w:t>
      </w:r>
      <w:r w:rsidRPr="006A73A0">
        <w:rPr>
          <w:rFonts w:cs="Times New Roman"/>
          <w:lang w:val="nl-NL"/>
        </w:rPr>
        <w:t>:</w:t>
      </w:r>
    </w:p>
    <w:p w:rsidR="00565A37" w:rsidRPr="006A73A0" w:rsidRDefault="00565A37" w:rsidP="00E977F9">
      <w:pPr>
        <w:spacing w:before="120" w:after="120" w:line="360" w:lineRule="exact"/>
        <w:ind w:right="-5" w:firstLine="720"/>
        <w:jc w:val="both"/>
        <w:rPr>
          <w:rFonts w:cs="Times New Roman"/>
          <w:i/>
          <w:lang w:val="nl-NL"/>
        </w:rPr>
      </w:pPr>
      <w:r w:rsidRPr="006A73A0">
        <w:rPr>
          <w:rFonts w:cs="Times New Roman"/>
          <w:i/>
          <w:lang w:val="nl-NL"/>
        </w:rPr>
        <w:t>- Dự thảo Nghị định;</w:t>
      </w:r>
    </w:p>
    <w:p w:rsidR="00565A37" w:rsidRPr="006A73A0" w:rsidRDefault="00565A37" w:rsidP="00E977F9">
      <w:pPr>
        <w:spacing w:before="120" w:after="120" w:line="360" w:lineRule="exact"/>
        <w:jc w:val="both"/>
        <w:rPr>
          <w:rFonts w:cs="Times New Roman"/>
          <w:i/>
          <w:lang w:val="nl-NL"/>
        </w:rPr>
      </w:pPr>
      <w:r w:rsidRPr="006A73A0">
        <w:rPr>
          <w:rFonts w:cs="Times New Roman"/>
          <w:i/>
          <w:lang w:val="nl-NL"/>
        </w:rPr>
        <w:tab/>
        <w:t>- Bản tổng hợp tiếp thu, giải trình ý kiến thẩm định của Bộ Tư pháp và ý kiến góp ý của các Bộ, ngành, cơ quan, tổ chức và bản sao các ý kiến góp ý;</w:t>
      </w:r>
    </w:p>
    <w:p w:rsidR="00565A37" w:rsidRPr="006A73A0" w:rsidRDefault="00565A37" w:rsidP="00E977F9">
      <w:pPr>
        <w:spacing w:before="120" w:after="120" w:line="360" w:lineRule="exact"/>
        <w:jc w:val="both"/>
        <w:rPr>
          <w:rFonts w:cs="Times New Roman"/>
          <w:i/>
          <w:lang w:val="nl-NL"/>
        </w:rPr>
      </w:pPr>
      <w:r w:rsidRPr="006A73A0">
        <w:rPr>
          <w:rFonts w:cs="Times New Roman"/>
          <w:i/>
          <w:lang w:val="nl-NL"/>
        </w:rPr>
        <w:tab/>
      </w:r>
      <w:r w:rsidR="00C17E19" w:rsidRPr="006A73A0">
        <w:rPr>
          <w:rFonts w:cs="Times New Roman"/>
          <w:i/>
          <w:lang w:val="nl-NL"/>
        </w:rPr>
        <w:t xml:space="preserve">- Báo cáo </w:t>
      </w:r>
      <w:r w:rsidRPr="006A73A0">
        <w:rPr>
          <w:rFonts w:cs="Times New Roman"/>
          <w:i/>
          <w:lang w:val="nl-NL"/>
        </w:rPr>
        <w:t>đánh giá tác động</w:t>
      </w:r>
      <w:r w:rsidR="00C17E19" w:rsidRPr="006A73A0">
        <w:rPr>
          <w:rFonts w:cs="Times New Roman"/>
          <w:i/>
          <w:lang w:val="nl-NL"/>
        </w:rPr>
        <w:t xml:space="preserve"> trong quá trình soạn thảo</w:t>
      </w:r>
      <w:r w:rsidRPr="006A73A0">
        <w:rPr>
          <w:rFonts w:cs="Times New Roman"/>
          <w:i/>
          <w:lang w:val="nl-NL"/>
        </w:rPr>
        <w:t>;</w:t>
      </w:r>
    </w:p>
    <w:p w:rsidR="00565A37" w:rsidRPr="006A73A0" w:rsidRDefault="00565A37" w:rsidP="00E977F9">
      <w:pPr>
        <w:spacing w:before="120" w:after="120" w:line="360" w:lineRule="exact"/>
        <w:jc w:val="both"/>
        <w:rPr>
          <w:rFonts w:cs="Times New Roman"/>
          <w:i/>
          <w:lang w:val="nl-NL"/>
        </w:rPr>
      </w:pPr>
      <w:r w:rsidRPr="006A73A0">
        <w:rPr>
          <w:rFonts w:cs="Times New Roman"/>
          <w:i/>
          <w:lang w:val="nl-NL"/>
        </w:rPr>
        <w:tab/>
        <w:t>- Văn bản thẩm định của Bộ Tư pháp.</w:t>
      </w:r>
    </w:p>
    <w:p w:rsidR="00565A37" w:rsidRPr="00E977F9" w:rsidRDefault="00565A37" w:rsidP="00E977F9">
      <w:pPr>
        <w:spacing w:before="120" w:after="120" w:line="360" w:lineRule="exact"/>
        <w:ind w:right="-5" w:firstLine="720"/>
        <w:jc w:val="both"/>
        <w:rPr>
          <w:rFonts w:cs="Times New Roman"/>
          <w:lang w:val="nl-NL"/>
        </w:rPr>
      </w:pPr>
    </w:p>
    <w:tbl>
      <w:tblPr>
        <w:tblW w:w="9218" w:type="dxa"/>
        <w:tblLook w:val="0000"/>
      </w:tblPr>
      <w:tblGrid>
        <w:gridCol w:w="4028"/>
        <w:gridCol w:w="5190"/>
      </w:tblGrid>
      <w:tr w:rsidR="00565A37" w:rsidRPr="00E977F9" w:rsidTr="003212DA">
        <w:trPr>
          <w:trHeight w:val="2770"/>
        </w:trPr>
        <w:tc>
          <w:tcPr>
            <w:tcW w:w="4028" w:type="dxa"/>
          </w:tcPr>
          <w:p w:rsidR="00565A37" w:rsidRPr="00E977F9" w:rsidRDefault="00565A37" w:rsidP="006135AC">
            <w:pPr>
              <w:spacing w:before="120"/>
              <w:jc w:val="both"/>
              <w:rPr>
                <w:rFonts w:cs="Times New Roman"/>
                <w:b/>
                <w:bCs/>
                <w:i/>
                <w:iCs/>
                <w:sz w:val="22"/>
                <w:szCs w:val="22"/>
                <w:lang w:val="nl-NL"/>
              </w:rPr>
            </w:pPr>
            <w:r w:rsidRPr="00E977F9">
              <w:rPr>
                <w:rFonts w:cs="Times New Roman"/>
                <w:b/>
                <w:bCs/>
                <w:i/>
                <w:iCs/>
                <w:sz w:val="22"/>
                <w:szCs w:val="22"/>
                <w:lang w:val="nl-NL"/>
              </w:rPr>
              <w:t>Nơi nhận:</w:t>
            </w:r>
          </w:p>
          <w:p w:rsidR="00565A37" w:rsidRPr="00E977F9" w:rsidRDefault="00565A37" w:rsidP="003212DA">
            <w:pPr>
              <w:jc w:val="both"/>
              <w:rPr>
                <w:rFonts w:cs="Times New Roman"/>
                <w:sz w:val="22"/>
                <w:szCs w:val="22"/>
                <w:lang w:val="sv-SE"/>
              </w:rPr>
            </w:pPr>
            <w:r w:rsidRPr="00E977F9">
              <w:rPr>
                <w:rFonts w:cs="Times New Roman"/>
                <w:sz w:val="22"/>
                <w:szCs w:val="22"/>
                <w:lang w:val="sv-SE"/>
              </w:rPr>
              <w:t>- Như trên;</w:t>
            </w:r>
          </w:p>
          <w:p w:rsidR="00565A37" w:rsidRPr="00E977F9" w:rsidRDefault="00565A37" w:rsidP="003212DA">
            <w:pPr>
              <w:jc w:val="both"/>
              <w:rPr>
                <w:rFonts w:cs="Times New Roman"/>
                <w:sz w:val="22"/>
                <w:szCs w:val="22"/>
                <w:lang w:val="sv-SE"/>
              </w:rPr>
            </w:pPr>
            <w:r w:rsidRPr="00E977F9">
              <w:rPr>
                <w:rFonts w:cs="Times New Roman"/>
                <w:sz w:val="22"/>
                <w:szCs w:val="22"/>
                <w:lang w:val="sv-SE"/>
              </w:rPr>
              <w:t>- Văn phòng Chính phủ;</w:t>
            </w:r>
          </w:p>
          <w:p w:rsidR="00565A37" w:rsidRPr="00E977F9" w:rsidRDefault="00565A37" w:rsidP="003212DA">
            <w:pPr>
              <w:jc w:val="both"/>
              <w:rPr>
                <w:rFonts w:cs="Times New Roman"/>
                <w:sz w:val="22"/>
                <w:szCs w:val="22"/>
                <w:lang w:val="sv-SE"/>
              </w:rPr>
            </w:pPr>
            <w:r w:rsidRPr="00E977F9">
              <w:rPr>
                <w:rFonts w:cs="Times New Roman"/>
                <w:sz w:val="22"/>
                <w:szCs w:val="22"/>
                <w:lang w:val="sv-SE"/>
              </w:rPr>
              <w:t>- Bộ Tư pháp;</w:t>
            </w:r>
          </w:p>
          <w:p w:rsidR="00565A37" w:rsidRPr="00E977F9" w:rsidRDefault="00565A37" w:rsidP="003212DA">
            <w:pPr>
              <w:jc w:val="both"/>
              <w:rPr>
                <w:rFonts w:cs="Times New Roman"/>
                <w:sz w:val="22"/>
                <w:szCs w:val="22"/>
                <w:lang w:val="sv-SE"/>
              </w:rPr>
            </w:pPr>
            <w:r w:rsidRPr="00E977F9">
              <w:rPr>
                <w:rFonts w:cs="Times New Roman"/>
                <w:sz w:val="22"/>
                <w:szCs w:val="22"/>
                <w:lang w:val="sv-SE"/>
              </w:rPr>
              <w:t>- TT. Nguyễn Văn Công;</w:t>
            </w:r>
          </w:p>
          <w:p w:rsidR="00565A37" w:rsidRPr="00E977F9" w:rsidRDefault="00565A37" w:rsidP="003212DA">
            <w:pPr>
              <w:jc w:val="both"/>
              <w:rPr>
                <w:rFonts w:cs="Times New Roman"/>
                <w:sz w:val="22"/>
                <w:szCs w:val="22"/>
                <w:lang w:val="sv-SE"/>
              </w:rPr>
            </w:pPr>
            <w:r w:rsidRPr="00E977F9">
              <w:rPr>
                <w:rFonts w:cs="Times New Roman"/>
                <w:sz w:val="22"/>
                <w:szCs w:val="22"/>
                <w:lang w:val="sv-SE"/>
              </w:rPr>
              <w:t>- Cục Hàng hải Việt Nam;</w:t>
            </w:r>
          </w:p>
          <w:p w:rsidR="00565A37" w:rsidRPr="00E977F9" w:rsidRDefault="00565A37" w:rsidP="003212DA">
            <w:pPr>
              <w:jc w:val="both"/>
              <w:rPr>
                <w:rFonts w:cs="Times New Roman"/>
                <w:sz w:val="24"/>
                <w:lang w:val="nl-NL"/>
              </w:rPr>
            </w:pPr>
            <w:r w:rsidRPr="00E977F9">
              <w:rPr>
                <w:rFonts w:cs="Times New Roman"/>
                <w:sz w:val="22"/>
                <w:szCs w:val="22"/>
                <w:lang w:val="sv-SE"/>
              </w:rPr>
              <w:t>- Lưu: VT, VTải (3).</w:t>
            </w:r>
          </w:p>
        </w:tc>
        <w:tc>
          <w:tcPr>
            <w:tcW w:w="5190" w:type="dxa"/>
          </w:tcPr>
          <w:p w:rsidR="00565A37" w:rsidRPr="00E977F9" w:rsidRDefault="00565A37" w:rsidP="006135AC">
            <w:pPr>
              <w:spacing w:before="120"/>
              <w:jc w:val="center"/>
              <w:rPr>
                <w:rFonts w:cs="Times New Roman"/>
                <w:b/>
                <w:bCs/>
                <w:lang w:val="nl-NL"/>
              </w:rPr>
            </w:pPr>
            <w:r w:rsidRPr="00E977F9">
              <w:rPr>
                <w:rFonts w:cs="Times New Roman"/>
                <w:b/>
                <w:bCs/>
                <w:lang w:val="nl-NL"/>
              </w:rPr>
              <w:t xml:space="preserve">BỘ TRƯỞNG </w:t>
            </w:r>
          </w:p>
          <w:p w:rsidR="00565A37" w:rsidRPr="00E977F9" w:rsidRDefault="00565A37" w:rsidP="006135AC">
            <w:pPr>
              <w:jc w:val="center"/>
              <w:rPr>
                <w:rFonts w:cs="Times New Roman"/>
                <w:b/>
                <w:bCs/>
                <w:lang w:val="nl-NL"/>
              </w:rPr>
            </w:pPr>
          </w:p>
          <w:p w:rsidR="00565A37" w:rsidRPr="00E977F9" w:rsidRDefault="00565A37" w:rsidP="003212DA">
            <w:pPr>
              <w:spacing w:before="120"/>
              <w:jc w:val="center"/>
              <w:rPr>
                <w:rFonts w:cs="Times New Roman"/>
                <w:b/>
                <w:bCs/>
                <w:lang w:val="nl-NL"/>
              </w:rPr>
            </w:pPr>
          </w:p>
          <w:p w:rsidR="00565A37" w:rsidRPr="00E977F9" w:rsidRDefault="00565A37" w:rsidP="003212DA">
            <w:pPr>
              <w:spacing w:before="120"/>
              <w:jc w:val="center"/>
              <w:rPr>
                <w:rFonts w:cs="Times New Roman"/>
                <w:b/>
                <w:bCs/>
                <w:lang w:val="nl-NL"/>
              </w:rPr>
            </w:pPr>
          </w:p>
          <w:p w:rsidR="00565A37" w:rsidRPr="00E977F9" w:rsidRDefault="00565A37" w:rsidP="003212DA">
            <w:pPr>
              <w:spacing w:before="120"/>
              <w:jc w:val="center"/>
              <w:rPr>
                <w:rFonts w:cs="Times New Roman"/>
                <w:b/>
                <w:bCs/>
                <w:lang w:val="nl-NL"/>
              </w:rPr>
            </w:pPr>
          </w:p>
          <w:p w:rsidR="00565A37" w:rsidRPr="00E977F9" w:rsidRDefault="00565A37" w:rsidP="003212DA">
            <w:pPr>
              <w:spacing w:before="120"/>
              <w:jc w:val="center"/>
              <w:rPr>
                <w:rFonts w:cs="Times New Roman"/>
                <w:b/>
                <w:bCs/>
                <w:lang w:val="nl-NL"/>
              </w:rPr>
            </w:pPr>
            <w:r w:rsidRPr="00E977F9">
              <w:rPr>
                <w:rFonts w:cs="Times New Roman"/>
                <w:b/>
                <w:bCs/>
                <w:lang w:val="nl-NL"/>
              </w:rPr>
              <w:t>Đinh La Thăng</w:t>
            </w:r>
          </w:p>
        </w:tc>
      </w:tr>
    </w:tbl>
    <w:p w:rsidR="003212DA" w:rsidRPr="00E977F9" w:rsidRDefault="003212DA">
      <w:pPr>
        <w:rPr>
          <w:rFonts w:cs="Times New Roman"/>
          <w:lang w:val="nl-NL"/>
        </w:rPr>
      </w:pPr>
    </w:p>
    <w:sectPr w:rsidR="003212DA" w:rsidRPr="00E977F9" w:rsidSect="00CD257D">
      <w:footerReference w:type="even" r:id="rId6"/>
      <w:footerReference w:type="default" r:id="rId7"/>
      <w:pgSz w:w="11907" w:h="16840" w:code="9"/>
      <w:pgMar w:top="1134" w:right="1021" w:bottom="851" w:left="1418" w:header="720" w:footer="13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79A" w:rsidRDefault="0023679A" w:rsidP="00281FAD">
      <w:r>
        <w:separator/>
      </w:r>
    </w:p>
  </w:endnote>
  <w:endnote w:type="continuationSeparator" w:id="1">
    <w:p w:rsidR="0023679A" w:rsidRDefault="0023679A" w:rsidP="00281F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DA" w:rsidRDefault="007F1617" w:rsidP="003212DA">
    <w:pPr>
      <w:pStyle w:val="Footer"/>
      <w:framePr w:wrap="around" w:vAnchor="text" w:hAnchor="margin" w:xAlign="right" w:y="1"/>
      <w:rPr>
        <w:rStyle w:val="PageNumber"/>
      </w:rPr>
    </w:pPr>
    <w:r>
      <w:rPr>
        <w:rStyle w:val="PageNumber"/>
      </w:rPr>
      <w:fldChar w:fldCharType="begin"/>
    </w:r>
    <w:r w:rsidR="003212DA">
      <w:rPr>
        <w:rStyle w:val="PageNumber"/>
      </w:rPr>
      <w:instrText xml:space="preserve">PAGE  </w:instrText>
    </w:r>
    <w:r>
      <w:rPr>
        <w:rStyle w:val="PageNumber"/>
      </w:rPr>
      <w:fldChar w:fldCharType="separate"/>
    </w:r>
    <w:r w:rsidR="003212DA">
      <w:rPr>
        <w:rStyle w:val="PageNumber"/>
        <w:noProof/>
      </w:rPr>
      <w:t>2</w:t>
    </w:r>
    <w:r>
      <w:rPr>
        <w:rStyle w:val="PageNumber"/>
      </w:rPr>
      <w:fldChar w:fldCharType="end"/>
    </w:r>
  </w:p>
  <w:p w:rsidR="003212DA" w:rsidRDefault="003212DA" w:rsidP="003212D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DA" w:rsidRPr="007A6D7E" w:rsidRDefault="007F1617" w:rsidP="003212DA">
    <w:pPr>
      <w:pStyle w:val="Footer"/>
      <w:framePr w:wrap="around" w:vAnchor="text" w:hAnchor="page" w:x="10662" w:y="-400"/>
      <w:rPr>
        <w:rStyle w:val="PageNumber"/>
        <w:sz w:val="26"/>
        <w:szCs w:val="26"/>
      </w:rPr>
    </w:pPr>
    <w:r w:rsidRPr="007A6D7E">
      <w:rPr>
        <w:rStyle w:val="PageNumber"/>
        <w:sz w:val="26"/>
        <w:szCs w:val="26"/>
      </w:rPr>
      <w:fldChar w:fldCharType="begin"/>
    </w:r>
    <w:r w:rsidR="003212DA" w:rsidRPr="007A6D7E">
      <w:rPr>
        <w:rStyle w:val="PageNumber"/>
        <w:sz w:val="26"/>
        <w:szCs w:val="26"/>
      </w:rPr>
      <w:instrText xml:space="preserve">PAGE  </w:instrText>
    </w:r>
    <w:r w:rsidRPr="007A6D7E">
      <w:rPr>
        <w:rStyle w:val="PageNumber"/>
        <w:sz w:val="26"/>
        <w:szCs w:val="26"/>
      </w:rPr>
      <w:fldChar w:fldCharType="separate"/>
    </w:r>
    <w:r w:rsidR="007962D7">
      <w:rPr>
        <w:rStyle w:val="PageNumber"/>
        <w:noProof/>
        <w:sz w:val="26"/>
        <w:szCs w:val="26"/>
      </w:rPr>
      <w:t>5</w:t>
    </w:r>
    <w:r w:rsidRPr="007A6D7E">
      <w:rPr>
        <w:rStyle w:val="PageNumber"/>
        <w:sz w:val="26"/>
        <w:szCs w:val="26"/>
      </w:rPr>
      <w:fldChar w:fldCharType="end"/>
    </w:r>
  </w:p>
  <w:p w:rsidR="003212DA" w:rsidRPr="009F6A0B" w:rsidRDefault="003212DA" w:rsidP="003212DA">
    <w:pPr>
      <w:pStyle w:val="Footer"/>
      <w:framePr w:wrap="around" w:vAnchor="text" w:hAnchor="margin" w:xAlign="outside" w:y="1"/>
      <w:ind w:right="360"/>
      <w:rPr>
        <w:rStyle w:val="PageNumber"/>
        <w:sz w:val="24"/>
        <w:szCs w:val="24"/>
      </w:rPr>
    </w:pPr>
  </w:p>
  <w:p w:rsidR="003212DA" w:rsidRDefault="003212DA" w:rsidP="003212D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79A" w:rsidRDefault="0023679A" w:rsidP="00281FAD">
      <w:r>
        <w:separator/>
      </w:r>
    </w:p>
  </w:footnote>
  <w:footnote w:type="continuationSeparator" w:id="1">
    <w:p w:rsidR="0023679A" w:rsidRDefault="0023679A" w:rsidP="00281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5A37"/>
    <w:rsid w:val="0000719C"/>
    <w:rsid w:val="00021E25"/>
    <w:rsid w:val="00052903"/>
    <w:rsid w:val="000A5146"/>
    <w:rsid w:val="000C0155"/>
    <w:rsid w:val="000C737A"/>
    <w:rsid w:val="000D011E"/>
    <w:rsid w:val="000D3137"/>
    <w:rsid w:val="000D7CF8"/>
    <w:rsid w:val="00111582"/>
    <w:rsid w:val="00125592"/>
    <w:rsid w:val="00131984"/>
    <w:rsid w:val="00135DA1"/>
    <w:rsid w:val="00147DC8"/>
    <w:rsid w:val="00176CFA"/>
    <w:rsid w:val="001A1C7F"/>
    <w:rsid w:val="001B51D7"/>
    <w:rsid w:val="001B7247"/>
    <w:rsid w:val="0023679A"/>
    <w:rsid w:val="0025584D"/>
    <w:rsid w:val="002749DC"/>
    <w:rsid w:val="00281FAD"/>
    <w:rsid w:val="0030761D"/>
    <w:rsid w:val="00307825"/>
    <w:rsid w:val="003212DA"/>
    <w:rsid w:val="00324F54"/>
    <w:rsid w:val="003254E5"/>
    <w:rsid w:val="003378D3"/>
    <w:rsid w:val="003500DC"/>
    <w:rsid w:val="00361073"/>
    <w:rsid w:val="00382828"/>
    <w:rsid w:val="00387C80"/>
    <w:rsid w:val="00394013"/>
    <w:rsid w:val="003E14B9"/>
    <w:rsid w:val="003F25F3"/>
    <w:rsid w:val="0049351B"/>
    <w:rsid w:val="00495649"/>
    <w:rsid w:val="00497E74"/>
    <w:rsid w:val="004B43B0"/>
    <w:rsid w:val="004E4BDD"/>
    <w:rsid w:val="004F4F29"/>
    <w:rsid w:val="00565A37"/>
    <w:rsid w:val="00584DFA"/>
    <w:rsid w:val="005C0A11"/>
    <w:rsid w:val="005E5536"/>
    <w:rsid w:val="005E654E"/>
    <w:rsid w:val="006135AC"/>
    <w:rsid w:val="00673BD8"/>
    <w:rsid w:val="006813C5"/>
    <w:rsid w:val="006A2F05"/>
    <w:rsid w:val="006A73A0"/>
    <w:rsid w:val="006B5014"/>
    <w:rsid w:val="007008C4"/>
    <w:rsid w:val="00707EA3"/>
    <w:rsid w:val="00733893"/>
    <w:rsid w:val="00772346"/>
    <w:rsid w:val="0077382E"/>
    <w:rsid w:val="007752B5"/>
    <w:rsid w:val="007962D7"/>
    <w:rsid w:val="007A497A"/>
    <w:rsid w:val="007A786F"/>
    <w:rsid w:val="007F1617"/>
    <w:rsid w:val="00843854"/>
    <w:rsid w:val="008A5956"/>
    <w:rsid w:val="008E7FF3"/>
    <w:rsid w:val="00933829"/>
    <w:rsid w:val="0097190D"/>
    <w:rsid w:val="00997A01"/>
    <w:rsid w:val="00A11425"/>
    <w:rsid w:val="00A127C2"/>
    <w:rsid w:val="00A617EB"/>
    <w:rsid w:val="00A95465"/>
    <w:rsid w:val="00A97DC1"/>
    <w:rsid w:val="00AA2817"/>
    <w:rsid w:val="00AA2A43"/>
    <w:rsid w:val="00AA52B8"/>
    <w:rsid w:val="00AD293E"/>
    <w:rsid w:val="00AE6945"/>
    <w:rsid w:val="00B0413C"/>
    <w:rsid w:val="00B06FDC"/>
    <w:rsid w:val="00B14F8D"/>
    <w:rsid w:val="00B2069F"/>
    <w:rsid w:val="00B27264"/>
    <w:rsid w:val="00B53DBC"/>
    <w:rsid w:val="00B67244"/>
    <w:rsid w:val="00B94B52"/>
    <w:rsid w:val="00BB5267"/>
    <w:rsid w:val="00BF7B4F"/>
    <w:rsid w:val="00C00AAC"/>
    <w:rsid w:val="00C17E19"/>
    <w:rsid w:val="00C4611C"/>
    <w:rsid w:val="00C51B29"/>
    <w:rsid w:val="00C57BD3"/>
    <w:rsid w:val="00CB121B"/>
    <w:rsid w:val="00CD2433"/>
    <w:rsid w:val="00CD257D"/>
    <w:rsid w:val="00D04CCC"/>
    <w:rsid w:val="00D063A5"/>
    <w:rsid w:val="00D563C9"/>
    <w:rsid w:val="00D654E2"/>
    <w:rsid w:val="00DF7E9F"/>
    <w:rsid w:val="00E04127"/>
    <w:rsid w:val="00E0531C"/>
    <w:rsid w:val="00E36BFD"/>
    <w:rsid w:val="00E41E69"/>
    <w:rsid w:val="00E977F9"/>
    <w:rsid w:val="00F0797B"/>
    <w:rsid w:val="00F34A65"/>
    <w:rsid w:val="00F43DDE"/>
    <w:rsid w:val="00F67F7D"/>
    <w:rsid w:val="00F75DAE"/>
    <w:rsid w:val="00F802D0"/>
    <w:rsid w:val="00FB781D"/>
    <w:rsid w:val="00FD01F0"/>
    <w:rsid w:val="00FD0F30"/>
    <w:rsid w:val="00FE6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37"/>
    <w:pPr>
      <w:spacing w:after="0" w:line="240" w:lineRule="auto"/>
    </w:pPr>
    <w:rPr>
      <w:rFonts w:ascii="Times New Roman" w:eastAsia="Times New Roman" w:hAnsi="Times New Roman" w:cs=".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5A37"/>
    <w:pPr>
      <w:tabs>
        <w:tab w:val="center" w:pos="4320"/>
        <w:tab w:val="right" w:pos="8640"/>
      </w:tabs>
    </w:pPr>
  </w:style>
  <w:style w:type="character" w:customStyle="1" w:styleId="FooterChar">
    <w:name w:val="Footer Char"/>
    <w:basedOn w:val="DefaultParagraphFont"/>
    <w:link w:val="Footer"/>
    <w:rsid w:val="00565A37"/>
    <w:rPr>
      <w:rFonts w:ascii="Times New Roman" w:eastAsia="Times New Roman" w:hAnsi="Times New Roman" w:cs=".VnTime"/>
      <w:color w:val="000000"/>
      <w:sz w:val="28"/>
      <w:szCs w:val="28"/>
    </w:rPr>
  </w:style>
  <w:style w:type="character" w:styleId="PageNumber">
    <w:name w:val="page number"/>
    <w:basedOn w:val="DefaultParagraphFont"/>
    <w:rsid w:val="00565A37"/>
  </w:style>
  <w:style w:type="paragraph" w:styleId="Title">
    <w:name w:val="Title"/>
    <w:basedOn w:val="Normal"/>
    <w:link w:val="TitleChar"/>
    <w:qFormat/>
    <w:rsid w:val="00565A37"/>
    <w:pPr>
      <w:jc w:val="center"/>
    </w:pPr>
    <w:rPr>
      <w:rFonts w:cs="Times New Roman"/>
      <w:b/>
      <w:color w:val="auto"/>
      <w:sz w:val="32"/>
      <w:szCs w:val="20"/>
    </w:rPr>
  </w:style>
  <w:style w:type="character" w:customStyle="1" w:styleId="TitleChar">
    <w:name w:val="Title Char"/>
    <w:basedOn w:val="DefaultParagraphFont"/>
    <w:link w:val="Title"/>
    <w:rsid w:val="00565A37"/>
    <w:rPr>
      <w:rFonts w:ascii="Times New Roman" w:eastAsia="Times New Roman" w:hAnsi="Times New Roman" w:cs="Times New Roman"/>
      <w:b/>
      <w:sz w:val="32"/>
      <w:szCs w:val="20"/>
    </w:rPr>
  </w:style>
  <w:style w:type="paragraph" w:customStyle="1" w:styleId="ListParagraph1">
    <w:name w:val="List Paragraph1"/>
    <w:aliases w:val="Thang2"/>
    <w:basedOn w:val="Normal"/>
    <w:link w:val="ListParagraphChar"/>
    <w:uiPriority w:val="34"/>
    <w:qFormat/>
    <w:rsid w:val="004B43B0"/>
    <w:pPr>
      <w:spacing w:after="200" w:line="276" w:lineRule="auto"/>
      <w:ind w:left="720"/>
      <w:contextualSpacing/>
    </w:pPr>
    <w:rPr>
      <w:rFonts w:ascii="Calibri" w:eastAsia="SimSun" w:hAnsi="Calibri" w:cs="Times New Roman"/>
      <w:color w:val="auto"/>
      <w:sz w:val="22"/>
      <w:szCs w:val="22"/>
      <w:lang w:eastAsia="zh-CN"/>
    </w:rPr>
  </w:style>
  <w:style w:type="character" w:customStyle="1" w:styleId="ListParagraphChar">
    <w:name w:val="List Paragraph Char"/>
    <w:aliases w:val="Thang2 Char"/>
    <w:link w:val="ListParagraph1"/>
    <w:uiPriority w:val="34"/>
    <w:locked/>
    <w:rsid w:val="004B43B0"/>
    <w:rPr>
      <w:rFonts w:ascii="Calibri" w:eastAsia="SimSun" w:hAnsi="Calibri" w:cs="Times New Roman"/>
      <w:lang w:eastAsia="zh-CN"/>
    </w:rPr>
  </w:style>
  <w:style w:type="character" w:customStyle="1" w:styleId="apple-converted-space">
    <w:name w:val="apple-converted-space"/>
    <w:rsid w:val="004B43B0"/>
  </w:style>
  <w:style w:type="paragraph" w:styleId="ListParagraph">
    <w:name w:val="List Paragraph"/>
    <w:basedOn w:val="Normal"/>
    <w:uiPriority w:val="34"/>
    <w:qFormat/>
    <w:rsid w:val="003828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cp:lastModifiedBy>
  <cp:revision>71</cp:revision>
  <cp:lastPrinted>2016-03-08T04:08:00Z</cp:lastPrinted>
  <dcterms:created xsi:type="dcterms:W3CDTF">2016-02-25T08:38:00Z</dcterms:created>
  <dcterms:modified xsi:type="dcterms:W3CDTF">2016-03-17T07:03:00Z</dcterms:modified>
</cp:coreProperties>
</file>